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EC" w:rsidRPr="009C1005" w:rsidRDefault="003C7CEC" w:rsidP="003C7CEC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C1005">
        <w:rPr>
          <w:rFonts w:ascii="黑体" w:eastAsia="黑体" w:hAnsi="黑体" w:hint="eastAsia"/>
          <w:sz w:val="32"/>
          <w:szCs w:val="32"/>
        </w:rPr>
        <w:t>附件</w:t>
      </w:r>
      <w:r w:rsidRPr="009C1005">
        <w:rPr>
          <w:rFonts w:ascii="黑体" w:eastAsia="黑体" w:hAnsi="黑体"/>
          <w:sz w:val="32"/>
          <w:szCs w:val="32"/>
        </w:rPr>
        <w:t>2</w:t>
      </w:r>
      <w:r w:rsidRPr="009C1005">
        <w:rPr>
          <w:rFonts w:ascii="黑体" w:eastAsia="黑体" w:hAnsi="黑体" w:hint="eastAsia"/>
          <w:sz w:val="32"/>
          <w:szCs w:val="32"/>
        </w:rPr>
        <w:t>：</w:t>
      </w:r>
    </w:p>
    <w:p w:rsidR="003C7CEC" w:rsidRPr="00277191" w:rsidRDefault="003C7CEC" w:rsidP="003C7CEC">
      <w:pPr>
        <w:widowControl/>
        <w:jc w:val="center"/>
        <w:rPr>
          <w:rFonts w:ascii="黑体" w:eastAsia="黑体" w:hAnsi="黑体"/>
          <w:color w:val="040404"/>
          <w:sz w:val="32"/>
          <w:szCs w:val="32"/>
        </w:rPr>
      </w:pPr>
      <w:r w:rsidRPr="00277191">
        <w:rPr>
          <w:rFonts w:ascii="黑体" w:eastAsia="黑体" w:hAnsi="黑体" w:hint="eastAsia"/>
          <w:color w:val="040404"/>
          <w:sz w:val="32"/>
          <w:szCs w:val="32"/>
        </w:rPr>
        <w:t>家用燃气快速热水器产品标识要求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5367"/>
        <w:gridCol w:w="4961"/>
        <w:gridCol w:w="3827"/>
      </w:tblGrid>
      <w:tr w:rsidR="003C7CEC" w:rsidRPr="00277191" w:rsidTr="00315C65">
        <w:trPr>
          <w:trHeight w:val="491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标识内容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判定方法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依据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产品质量检验合格证明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《产品质量法》第二十七条第一项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中文标明的产品名称、生产厂厂名和厂址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《产品质量法》第二十七条第二项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产品执行标准号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《深圳经济特区产品质量管理条例》第二十四条第一项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4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在产品或者包装、说明书上标注</w:t>
            </w:r>
            <w:r w:rsidRPr="00F3008F">
              <w:rPr>
                <w:rFonts w:ascii="黑体" w:eastAsia="黑体" w:hAnsi="黑体" w:hint="eastAsia"/>
                <w:sz w:val="24"/>
              </w:rPr>
              <w:t>生产许可证标志和编号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《工业产品生产许可证管理条例》第三十三条第一款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5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伪造、冒用</w:t>
            </w:r>
            <w:r w:rsidRPr="00F3008F">
              <w:rPr>
                <w:rFonts w:ascii="黑体" w:eastAsia="黑体" w:hAnsi="黑体" w:hint="eastAsia"/>
                <w:sz w:val="24"/>
              </w:rPr>
              <w:t>生产许可证标志和编号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是否真实。</w:t>
            </w:r>
          </w:p>
          <w:p w:rsidR="003C7CEC" w:rsidRPr="00F3008F" w:rsidRDefault="003C7CEC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许可证编号通过国家数据库http://gyxkz.aqsiq.gov.cn:8080/zhijian/查询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《深圳经济特区产品质量管理条例》第二十三条第二款第六项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6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bCs/>
                <w:sz w:val="24"/>
              </w:rPr>
            </w:pP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在产品或者其包装、说明书上标注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委托企业的名称、住所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，以及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被委托企业的名称、住所、生产许可证标志和编号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。委托企业具有其委托加工的产品生产许可证的，还应当标注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委托企业的生产许可证标志和编号。</w:t>
            </w:r>
          </w:p>
          <w:p w:rsidR="003C7CEC" w:rsidRPr="00F3008F" w:rsidRDefault="003C7CEC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黑体" w:hint="eastAsia"/>
                <w:bCs/>
                <w:sz w:val="24"/>
              </w:rPr>
              <w:t>注：适用时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是否真实。</w:t>
            </w:r>
          </w:p>
          <w:p w:rsidR="003C7CEC" w:rsidRPr="00F3008F" w:rsidRDefault="003C7CEC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许可证编号通过国家数据库http://gyxkz.aqsiq.gov.cn:8080/zhijian/查询；</w:t>
            </w:r>
          </w:p>
          <w:p w:rsidR="003C7CEC" w:rsidRPr="00F3008F" w:rsidRDefault="003C7CEC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企业名称、住所通过国家企业信用信息公示系统http://www.gsxt.gov.cn/index.html查询。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《工业产品生产许可证管理条例管理办法》第四十条第二款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7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铭牌上应有</w:t>
            </w:r>
            <w:r w:rsidRPr="00F3008F">
              <w:rPr>
                <w:rFonts w:ascii="仿宋_GB2312" w:eastAsia="仿宋_GB2312" w:hAnsi="Calibri"/>
                <w:bCs/>
                <w:sz w:val="24"/>
              </w:rPr>
              <w:t>：</w:t>
            </w:r>
            <w:r w:rsidRPr="00F3008F">
              <w:rPr>
                <w:rFonts w:ascii="黑体" w:eastAsia="黑体" w:hAnsi="黑体" w:hint="eastAsia"/>
                <w:sz w:val="24"/>
              </w:rPr>
              <w:t>燃气种类或代号</w:t>
            </w:r>
            <w:r w:rsidRPr="00F3008F">
              <w:rPr>
                <w:rFonts w:ascii="仿宋_GB2312" w:eastAsia="仿宋_GB2312" w:hAnsi="Calibri" w:hint="eastAsia"/>
                <w:sz w:val="24"/>
              </w:rPr>
              <w:t>；</w:t>
            </w:r>
          </w:p>
          <w:p w:rsidR="003C7CEC" w:rsidRPr="00F3008F" w:rsidRDefault="003C7CEC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包装箱上应有：</w:t>
            </w:r>
            <w:r w:rsidRPr="00F3008F">
              <w:rPr>
                <w:rFonts w:ascii="黑体" w:eastAsia="黑体" w:hAnsi="黑体" w:hint="eastAsia"/>
                <w:sz w:val="24"/>
              </w:rPr>
              <w:t>热水器使用燃气种类或适用地区</w:t>
            </w:r>
            <w:r w:rsidRPr="00F3008F">
              <w:rPr>
                <w:rFonts w:ascii="仿宋_GB2312" w:eastAsia="仿宋_GB2312" w:hAnsi="Calibri" w:hint="eastAsia"/>
                <w:sz w:val="24"/>
              </w:rPr>
              <w:t>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是否正确。</w:t>
            </w:r>
          </w:p>
          <w:p w:rsidR="003C7CEC" w:rsidRPr="00F3008F" w:rsidRDefault="003C7CEC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深圳地区为“天然气（代号：10T、12T）”或“液化石油气（代号：19Y、20Y或22Y）”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 6932</w:t>
            </w:r>
            <w:r w:rsidRPr="00F3008F">
              <w:rPr>
                <w:rFonts w:ascii="仿宋_GB2312" w:eastAsia="仿宋_GB2312" w:hAnsi="Calibri"/>
                <w:sz w:val="24"/>
              </w:rPr>
              <w:t>--2015</w:t>
            </w:r>
            <w:r w:rsidRPr="00F3008F">
              <w:rPr>
                <w:rFonts w:ascii="仿宋_GB2312" w:eastAsia="仿宋_GB2312" w:hAnsi="Calibri" w:hint="eastAsia"/>
                <w:sz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3008F">
                <w:rPr>
                  <w:rFonts w:ascii="仿宋_GB2312" w:eastAsia="仿宋_GB2312" w:hAnsi="Calibri" w:hint="eastAsia"/>
                  <w:sz w:val="24"/>
                </w:rPr>
                <w:t>9.1.1</w:t>
              </w:r>
            </w:smartTag>
            <w:r w:rsidRPr="00F3008F">
              <w:rPr>
                <w:rFonts w:ascii="仿宋_GB2312" w:eastAsia="仿宋_GB2312" w:hAnsi="Calibri" w:hint="eastAsia"/>
                <w:sz w:val="24"/>
              </w:rPr>
              <w:t xml:space="preserve"> b)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3008F">
                <w:rPr>
                  <w:rFonts w:ascii="仿宋_GB2312" w:eastAsia="仿宋_GB2312" w:hAnsi="Calibri" w:hint="eastAsia"/>
                  <w:sz w:val="24"/>
                </w:rPr>
                <w:t>、9.4.1</w:t>
              </w:r>
            </w:smartTag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8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每台热水器均应在适当的位置设有安全注意事项,安全注意事项应包含以下内容：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a) 不得使用规定外其他燃气的警示；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b) 通风换气的注意事项；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 6932</w:t>
            </w:r>
            <w:r w:rsidRPr="00F3008F">
              <w:rPr>
                <w:rFonts w:ascii="仿宋_GB2312" w:eastAsia="仿宋_GB2312" w:hAnsi="Calibri"/>
                <w:sz w:val="24"/>
              </w:rPr>
              <w:t>--2015</w:t>
            </w:r>
            <w:r w:rsidRPr="00F3008F">
              <w:rPr>
                <w:rFonts w:ascii="仿宋_GB2312" w:eastAsia="仿宋_GB2312" w:hAnsi="Calibri" w:hint="eastAsia"/>
                <w:sz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F3008F">
                <w:rPr>
                  <w:rFonts w:ascii="仿宋_GB2312" w:eastAsia="仿宋_GB2312" w:hAnsi="Calibri" w:hint="eastAsia"/>
                  <w:sz w:val="24"/>
                </w:rPr>
                <w:t>9.1.2 a</w:t>
              </w:r>
            </w:smartTag>
            <w:r w:rsidRPr="00F3008F">
              <w:rPr>
                <w:rFonts w:ascii="仿宋_GB2312" w:eastAsia="仿宋_GB2312" w:hAnsi="Calibri" w:hint="eastAsia"/>
                <w:sz w:val="24"/>
              </w:rPr>
              <w:t>)、b)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9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每台使用交流电热水器的</w:t>
            </w:r>
            <w:r w:rsidRPr="00F3008F">
              <w:rPr>
                <w:rFonts w:ascii="黑体" w:eastAsia="黑体" w:hAnsi="黑体"/>
                <w:sz w:val="24"/>
              </w:rPr>
              <w:t>主体上应有标志</w:t>
            </w:r>
            <w:r w:rsidRPr="00F3008F">
              <w:rPr>
                <w:rFonts w:ascii="仿宋_GB2312" w:eastAsia="仿宋_GB2312" w:hAnsi="Calibri"/>
                <w:sz w:val="24"/>
              </w:rPr>
              <w:t>，标志上应有：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a</w:t>
            </w:r>
            <w:r w:rsidRPr="00F3008F">
              <w:rPr>
                <w:rFonts w:ascii="黑体" w:eastAsia="黑体" w:hAnsi="黑体"/>
                <w:sz w:val="24"/>
              </w:rPr>
              <w:t xml:space="preserve">) </w:t>
            </w:r>
            <w:r w:rsidRPr="00F3008F">
              <w:rPr>
                <w:rFonts w:ascii="黑体" w:eastAsia="黑体" w:hAnsi="黑体" w:hint="eastAsia"/>
                <w:sz w:val="24"/>
              </w:rPr>
              <w:t>额定电压或额定电压范围，单位为伏（V）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b) 电源性质的符号，标有额定频率的除外；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c) 额定输入功率，单位为瓦（W）或额定电流，单位为安（A）；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d) 制造商或责任承销商的名称、商标或识别标志；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e) 型号或系列号；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f) 防水等级的IP代码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本部分内容应使用简体汉字写出。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有或无，是否正确。</w:t>
            </w:r>
          </w:p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室内型热水器应标注</w:t>
            </w:r>
            <w:r w:rsidRPr="00F3008F">
              <w:rPr>
                <w:rFonts w:ascii="仿宋_GB2312" w:eastAsia="仿宋_GB2312" w:hAnsi="Calibri"/>
                <w:sz w:val="24"/>
              </w:rPr>
              <w:t>IPX2及以上代码;</w:t>
            </w:r>
            <w:r w:rsidRPr="00F3008F">
              <w:rPr>
                <w:rFonts w:ascii="仿宋_GB2312" w:eastAsia="仿宋_GB2312" w:hAnsi="Calibri" w:hint="eastAsia"/>
                <w:sz w:val="24"/>
              </w:rPr>
              <w:t>可以安装在浴室内的热水器应标注</w:t>
            </w:r>
            <w:r w:rsidRPr="00F3008F">
              <w:rPr>
                <w:rFonts w:ascii="仿宋_GB2312" w:eastAsia="仿宋_GB2312" w:hAnsi="Calibri"/>
                <w:sz w:val="24"/>
              </w:rPr>
              <w:t>IPX4及以上代码;</w:t>
            </w:r>
            <w:r w:rsidRPr="00F3008F">
              <w:rPr>
                <w:rFonts w:ascii="仿宋_GB2312" w:eastAsia="仿宋_GB2312" w:hAnsi="Calibri" w:hint="eastAsia"/>
                <w:sz w:val="24"/>
              </w:rPr>
              <w:t>室外型热水器应标注</w:t>
            </w:r>
            <w:r w:rsidRPr="00F3008F">
              <w:rPr>
                <w:rFonts w:ascii="仿宋_GB2312" w:eastAsia="仿宋_GB2312" w:hAnsi="Calibri"/>
                <w:sz w:val="24"/>
              </w:rPr>
              <w:t>IPX5及以上代码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>4706.1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2005 7.1、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7.13、7.15</w:t>
            </w:r>
          </w:p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 6932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2015 C.2.2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10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每台使用交流电热水器的使用说明应包括下述内容</w:t>
            </w:r>
            <w:r w:rsidRPr="00F3008F">
              <w:rPr>
                <w:rFonts w:ascii="仿宋_GB2312" w:eastAsia="仿宋_GB2312" w:hAnsi="黑体"/>
                <w:sz w:val="24"/>
              </w:rPr>
              <w:t>：</w:t>
            </w:r>
            <w:r w:rsidRPr="00F3008F">
              <w:rPr>
                <w:rFonts w:ascii="黑体" w:eastAsia="黑体" w:hAnsi="黑体" w:hint="eastAsia"/>
                <w:sz w:val="24"/>
              </w:rPr>
              <w:t>“如果电源软线损坏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为了避免危险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应由制造商、其维修部或类似部门的专业人员更换”或“电源软线不能更换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如果软线损坏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此热水器应废弃”。</w:t>
            </w:r>
          </w:p>
          <w:p w:rsidR="003C7CEC" w:rsidRPr="00F3008F" w:rsidRDefault="003C7CEC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本部分内容应使用简体汉字写出。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有或无，是否正确。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>4706.1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2005 7.12.5、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7.13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11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每台使用交流电热水器的电源插头和电源线等部件应有</w:t>
            </w:r>
            <w:r w:rsidRPr="00F3008F">
              <w:rPr>
                <w:rFonts w:ascii="黑体" w:eastAsia="黑体" w:hAnsi="黑体" w:hint="eastAsia"/>
                <w:sz w:val="24"/>
              </w:rPr>
              <w:t>“CCC”认证标志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《认证认可条例》第二十八条</w:t>
            </w:r>
          </w:p>
        </w:tc>
      </w:tr>
      <w:tr w:rsidR="003C7CEC" w:rsidRPr="00277191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12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伪造、冒用</w:t>
            </w:r>
            <w:r w:rsidRPr="00F3008F">
              <w:rPr>
                <w:rFonts w:ascii="黑体" w:eastAsia="黑体" w:hAnsi="黑体" w:hint="eastAsia"/>
                <w:sz w:val="24"/>
              </w:rPr>
              <w:t>认证标志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是否真实。</w:t>
            </w:r>
          </w:p>
          <w:p w:rsidR="003C7CEC" w:rsidRPr="00F3008F" w:rsidRDefault="003C7CEC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认证信息通过国家数据库</w:t>
            </w:r>
            <w:r w:rsidRPr="00F3008F">
              <w:rPr>
                <w:rFonts w:ascii="仿宋_GB2312" w:eastAsia="仿宋_GB2312" w:hAnsi="Calibri"/>
                <w:sz w:val="24"/>
              </w:rPr>
              <w:t>http://cx.cnca.cn/</w:t>
            </w:r>
            <w:r w:rsidRPr="00F3008F">
              <w:rPr>
                <w:rFonts w:ascii="仿宋_GB2312" w:eastAsia="仿宋_GB2312" w:hAnsi="Calibri" w:hint="eastAsia"/>
                <w:sz w:val="24"/>
              </w:rPr>
              <w:t>查询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C7CEC" w:rsidRPr="00F3008F" w:rsidRDefault="003C7CEC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《深圳经济特区产品质量管理条例》第二十三条第二款第六项</w:t>
            </w:r>
          </w:p>
        </w:tc>
      </w:tr>
    </w:tbl>
    <w:p w:rsidR="003C7CEC" w:rsidRPr="00277191" w:rsidRDefault="003C7CEC" w:rsidP="003C7CEC">
      <w:pPr>
        <w:widowControl/>
        <w:rPr>
          <w:rFonts w:ascii="黑体" w:eastAsia="黑体" w:hAnsi="黑体"/>
          <w:sz w:val="32"/>
          <w:szCs w:val="32"/>
        </w:rPr>
      </w:pPr>
    </w:p>
    <w:p w:rsidR="00D72F6F" w:rsidRPr="003C7CEC" w:rsidRDefault="00D72F6F"/>
    <w:sectPr w:rsidR="00D72F6F" w:rsidRPr="003C7CEC" w:rsidSect="003C7C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FA" w:rsidRDefault="00BD10FA" w:rsidP="003C7CEC">
      <w:r>
        <w:separator/>
      </w:r>
    </w:p>
  </w:endnote>
  <w:endnote w:type="continuationSeparator" w:id="0">
    <w:p w:rsidR="00BD10FA" w:rsidRDefault="00BD10FA" w:rsidP="003C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FA" w:rsidRDefault="00BD10FA" w:rsidP="003C7CEC">
      <w:r>
        <w:separator/>
      </w:r>
    </w:p>
  </w:footnote>
  <w:footnote w:type="continuationSeparator" w:id="0">
    <w:p w:rsidR="00BD10FA" w:rsidRDefault="00BD10FA" w:rsidP="003C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CEC"/>
    <w:rsid w:val="003C7CEC"/>
    <w:rsid w:val="00BD10FA"/>
    <w:rsid w:val="00D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C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C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C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2018-02-13T01:52:00Z</dcterms:created>
  <dcterms:modified xsi:type="dcterms:W3CDTF">2018-02-13T01:52:00Z</dcterms:modified>
</cp:coreProperties>
</file>