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00" w:rsidRDefault="006D2B00" w:rsidP="006D2B00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</w:t>
      </w:r>
      <w:r w:rsidRPr="00973ED2">
        <w:rPr>
          <w:rFonts w:ascii="黑体" w:eastAsia="黑体" w:hAnsi="黑体"/>
          <w:sz w:val="28"/>
          <w:szCs w:val="28"/>
        </w:rPr>
        <w:t>2</w:t>
      </w:r>
      <w:r w:rsidRPr="00973ED2">
        <w:rPr>
          <w:rFonts w:ascii="黑体" w:eastAsia="黑体" w:hAnsi="黑体" w:hint="eastAsia"/>
          <w:sz w:val="28"/>
          <w:szCs w:val="28"/>
        </w:rPr>
        <w:t>：</w:t>
      </w:r>
    </w:p>
    <w:p w:rsidR="006D2B00" w:rsidRPr="00277191" w:rsidRDefault="006D2B00" w:rsidP="006D2B00">
      <w:pPr>
        <w:widowControl/>
        <w:jc w:val="center"/>
        <w:rPr>
          <w:rFonts w:ascii="黑体" w:eastAsia="黑体" w:hAnsi="黑体"/>
          <w:color w:val="040404"/>
          <w:sz w:val="32"/>
          <w:szCs w:val="32"/>
        </w:rPr>
      </w:pPr>
      <w:r>
        <w:rPr>
          <w:rFonts w:ascii="黑体" w:eastAsia="黑体" w:hAnsi="黑体" w:hint="eastAsia"/>
          <w:color w:val="040404"/>
          <w:sz w:val="32"/>
          <w:szCs w:val="32"/>
        </w:rPr>
        <w:t>电</w:t>
      </w:r>
      <w:r w:rsidRPr="00277191">
        <w:rPr>
          <w:rFonts w:ascii="黑体" w:eastAsia="黑体" w:hAnsi="黑体" w:hint="eastAsia"/>
          <w:color w:val="040404"/>
          <w:sz w:val="32"/>
          <w:szCs w:val="32"/>
        </w:rPr>
        <w:t>热水器产品标识要求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792"/>
        <w:gridCol w:w="4252"/>
        <w:gridCol w:w="3969"/>
      </w:tblGrid>
      <w:tr w:rsidR="006D2B00" w:rsidRPr="00277191" w:rsidTr="00315C65">
        <w:trPr>
          <w:trHeight w:val="491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标识内容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判定方法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依据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产品质量检验合格证明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《产品质量法》第二十七条第一项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中文标明的产品名称、生产厂厂名和厂址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《产品质量法》第二十七条第二项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产品执行标准号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《深圳经济特区产品质量管理条例》第二十四条第一项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强制性产品认证标志（“CCC”）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《认证认可条例》第二十八条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伪造、冒用</w:t>
            </w:r>
            <w:r w:rsidRPr="00F3008F">
              <w:rPr>
                <w:rFonts w:ascii="黑体" w:eastAsia="黑体" w:hAnsi="黑体" w:hint="eastAsia"/>
                <w:sz w:val="24"/>
              </w:rPr>
              <w:t>认证标志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认证信息通过国家数据库</w:t>
            </w:r>
            <w:r w:rsidRPr="00F3008F">
              <w:rPr>
                <w:rFonts w:ascii="仿宋_GB2312" w:eastAsia="仿宋_GB2312" w:hAnsi="Calibri"/>
                <w:sz w:val="24"/>
              </w:rPr>
              <w:t>http://cx.cnca.cn/</w:t>
            </w:r>
            <w:r w:rsidRPr="00F3008F">
              <w:rPr>
                <w:rFonts w:ascii="仿宋_GB2312" w:eastAsia="仿宋_GB2312" w:hAnsi="Calibri" w:hint="eastAsia"/>
                <w:sz w:val="24"/>
              </w:rPr>
              <w:t>查询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《深圳经济特区产品质量管理条例》第二十三条第二款第六项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rPr>
                <w:rFonts w:ascii="仿宋_GB2312" w:eastAsia="仿宋_GB2312" w:hAnsi="Calibri"/>
                <w:bCs/>
                <w:sz w:val="24"/>
              </w:rPr>
            </w:pP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获证产品及其销售包装上标注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认证证书所含内容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的，应当与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认证证书的内容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相一致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bCs/>
                <w:sz w:val="24"/>
              </w:rPr>
            </w:pPr>
            <w:r w:rsidRPr="00F3008F">
              <w:rPr>
                <w:rFonts w:ascii="仿宋_GB2312" w:eastAsia="仿宋_GB2312" w:hAnsi="Calibri"/>
                <w:bCs/>
                <w:sz w:val="24"/>
              </w:rPr>
              <w:t>认证证书内容：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（一）认证委托人名称、地址；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（二）产品生产者（制造商）名称、地址；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（三）被委托生产企业名称、地址（需要时）；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（四）产品名称和产品系列、规格、型号；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（五）认证依据；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（六）认证模式（需要时）；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（七）发证日期和有效期限；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（八）发证机构；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（九）证书编号；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（十）其他需要标注的内容。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是否一致。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认证信息通过国家数据库</w:t>
            </w:r>
            <w:r w:rsidRPr="00F3008F">
              <w:rPr>
                <w:rFonts w:ascii="仿宋_GB2312" w:eastAsia="仿宋_GB2312" w:hAnsi="Calibri"/>
                <w:sz w:val="24"/>
              </w:rPr>
              <w:t>http://cx.cnca.cn/</w:t>
            </w:r>
            <w:r w:rsidRPr="00F3008F">
              <w:rPr>
                <w:rFonts w:ascii="仿宋_GB2312" w:eastAsia="仿宋_GB2312" w:hAnsi="Calibri" w:hint="eastAsia"/>
                <w:sz w:val="24"/>
              </w:rPr>
              <w:t>查询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《强制性产品认证管理规定》第二十三条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7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每台电</w:t>
            </w:r>
            <w:r w:rsidRPr="00F3008F">
              <w:rPr>
                <w:rFonts w:ascii="黑体" w:eastAsia="黑体" w:hAnsi="黑体"/>
                <w:sz w:val="24"/>
              </w:rPr>
              <w:t>热水器</w:t>
            </w:r>
            <w:r w:rsidRPr="00F3008F">
              <w:rPr>
                <w:rFonts w:ascii="黑体" w:eastAsia="黑体" w:hAnsi="黑体" w:hint="eastAsia"/>
                <w:sz w:val="24"/>
              </w:rPr>
              <w:t>的</w:t>
            </w:r>
            <w:r w:rsidRPr="00F3008F">
              <w:rPr>
                <w:rFonts w:ascii="黑体" w:eastAsia="黑体" w:hAnsi="黑体"/>
                <w:sz w:val="24"/>
              </w:rPr>
              <w:t>主体上应有标志</w:t>
            </w:r>
            <w:r w:rsidRPr="00F3008F">
              <w:rPr>
                <w:rFonts w:ascii="仿宋_GB2312" w:eastAsia="仿宋_GB2312" w:hAnsi="Calibri"/>
                <w:sz w:val="24"/>
              </w:rPr>
              <w:t>，标志上应有：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a</w:t>
            </w:r>
            <w:r w:rsidRPr="00F3008F">
              <w:rPr>
                <w:rFonts w:ascii="黑体" w:eastAsia="黑体" w:hAnsi="黑体"/>
                <w:sz w:val="24"/>
              </w:rPr>
              <w:t xml:space="preserve">) </w:t>
            </w:r>
            <w:r w:rsidRPr="00F3008F">
              <w:rPr>
                <w:rFonts w:ascii="黑体" w:eastAsia="黑体" w:hAnsi="黑体" w:hint="eastAsia"/>
                <w:sz w:val="24"/>
              </w:rPr>
              <w:t>额定电压或额定电压范围，单位为伏（V）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b) 电源性质的符号，标有额定频率的除外；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c) 额定输入功率，单位为瓦（W）或额定电流，单位为安（A）；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d) 制造商或责任承销商的名称、商标或识别标志；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e) 型号或系列号；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f) 防水等级的IP代码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g) 额定压力，单位为Pa（水箱式热水器除外）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裸露元件式热水器还应标有：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h)</w:t>
            </w:r>
            <w:r w:rsidRPr="00F3008F">
              <w:rPr>
                <w:rFonts w:ascii="黑体" w:eastAsia="黑体" w:hAnsi="黑体"/>
                <w:sz w:val="24"/>
              </w:rPr>
              <w:t>水的电阻率不得低于……</w:t>
            </w:r>
            <w:proofErr w:type="spellStart"/>
            <w:r w:rsidRPr="00F3008F">
              <w:rPr>
                <w:rFonts w:ascii="黑体" w:eastAsia="黑体" w:hAnsi="黑体"/>
                <w:sz w:val="24"/>
              </w:rPr>
              <w:t>Ω·cm</w:t>
            </w:r>
            <w:proofErr w:type="spellEnd"/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储水式热水器</w:t>
            </w:r>
            <w:r w:rsidRPr="00F3008F">
              <w:rPr>
                <w:rFonts w:ascii="仿宋_GB2312" w:eastAsia="仿宋_GB2312" w:hAnsi="Calibri" w:hint="eastAsia"/>
                <w:sz w:val="24"/>
              </w:rPr>
              <w:t>还应标有：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proofErr w:type="spellStart"/>
            <w:r w:rsidRPr="00F3008F">
              <w:rPr>
                <w:rFonts w:ascii="黑体" w:eastAsia="黑体" w:hAnsi="黑体"/>
                <w:sz w:val="24"/>
              </w:rPr>
              <w:t>i</w:t>
            </w:r>
            <w:proofErr w:type="spellEnd"/>
            <w:r w:rsidRPr="00F3008F">
              <w:rPr>
                <w:rFonts w:ascii="黑体" w:eastAsia="黑体" w:hAnsi="黑体"/>
                <w:sz w:val="24"/>
              </w:rPr>
              <w:t>)额定容量，单位为L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本部分内容应使用简体汉字写出。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  <w:p w:rsidR="006D2B00" w:rsidRPr="00F3008F" w:rsidRDefault="006D2B00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注：1.快热式热水器应标注</w:t>
            </w:r>
            <w:r w:rsidRPr="00F3008F">
              <w:rPr>
                <w:rFonts w:ascii="仿宋_GB2312" w:eastAsia="仿宋_GB2312" w:hAnsi="Calibri"/>
                <w:sz w:val="24"/>
              </w:rPr>
              <w:t>IPX1及以上代码。</w:t>
            </w:r>
          </w:p>
          <w:p w:rsidR="006D2B00" w:rsidRPr="00F3008F" w:rsidRDefault="006D2B00" w:rsidP="00315C65">
            <w:pPr>
              <w:ind w:firstLine="480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2.裸露元件式热水器的最小额定频率为50Hz。</w:t>
            </w:r>
          </w:p>
          <w:p w:rsidR="006D2B00" w:rsidRPr="00F3008F" w:rsidRDefault="006D2B00" w:rsidP="00315C65">
            <w:pPr>
              <w:ind w:firstLine="480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3.</w:t>
            </w:r>
            <w:r w:rsidRPr="00F3008F">
              <w:rPr>
                <w:rFonts w:ascii="仿宋_GB2312" w:eastAsia="仿宋_GB2312" w:hAnsi="Calibri" w:hint="eastAsia"/>
                <w:sz w:val="24"/>
              </w:rPr>
              <w:t>室外安装的储水式热水器应标注</w:t>
            </w:r>
            <w:r w:rsidRPr="00F3008F">
              <w:rPr>
                <w:rFonts w:ascii="仿宋_GB2312" w:eastAsia="仿宋_GB2312" w:hAnsi="Calibri"/>
                <w:sz w:val="24"/>
              </w:rPr>
              <w:t>IPX4及以上代码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，其余储水式热水器应标注</w:t>
            </w:r>
            <w:r w:rsidRPr="00F3008F">
              <w:rPr>
                <w:rFonts w:ascii="仿宋_GB2312" w:eastAsia="仿宋_GB2312" w:hAnsi="Calibri"/>
                <w:sz w:val="24"/>
              </w:rPr>
              <w:t>IPX1及以上代码。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4706.1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2005 7.1、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7.13、7.15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4706.11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2008 7.1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4706.12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2006 7.1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8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>8</w:t>
            </w:r>
            <w:r w:rsidRPr="00F3008F">
              <w:rPr>
                <w:rFonts w:ascii="仿宋_GB2312" w:eastAsia="仿宋_GB2312" w:hAnsi="黑体" w:hint="eastAsia"/>
                <w:sz w:val="24"/>
              </w:rPr>
              <w:t>.1</w:t>
            </w:r>
            <w:r w:rsidRPr="00F3008F">
              <w:rPr>
                <w:rFonts w:ascii="仿宋_GB2312" w:eastAsia="仿宋_GB2312" w:hAnsi="黑体"/>
                <w:sz w:val="24"/>
              </w:rPr>
              <w:t xml:space="preserve"> 热水器</w:t>
            </w:r>
            <w:r w:rsidRPr="00F3008F">
              <w:rPr>
                <w:rFonts w:ascii="仿宋_GB2312" w:eastAsia="仿宋_GB2312" w:hAnsi="黑体" w:hint="eastAsia"/>
                <w:sz w:val="24"/>
              </w:rPr>
              <w:t>的使用说明应包括下述内容</w:t>
            </w:r>
            <w:r w:rsidRPr="00F3008F">
              <w:rPr>
                <w:rFonts w:ascii="仿宋_GB2312" w:eastAsia="仿宋_GB2312" w:hAnsi="黑体"/>
                <w:sz w:val="24"/>
              </w:rPr>
              <w:t>：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 w:hint="eastAsia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“</w:t>
            </w:r>
            <w:r w:rsidRPr="00F3008F">
              <w:rPr>
                <w:rFonts w:ascii="黑体" w:eastAsia="黑体" w:hAnsi="黑体" w:hint="eastAsia"/>
                <w:sz w:val="24"/>
              </w:rPr>
              <w:t>如果电源软线损坏</w:t>
            </w:r>
            <w:r w:rsidRPr="00F3008F">
              <w:rPr>
                <w:rFonts w:ascii="黑体" w:eastAsia="黑体" w:hAnsi="黑体"/>
                <w:sz w:val="24"/>
              </w:rPr>
              <w:t>,必须用专用软线或从其</w:t>
            </w:r>
            <w:r w:rsidRPr="00F3008F">
              <w:rPr>
                <w:rFonts w:ascii="黑体" w:eastAsia="黑体" w:hAnsi="黑体" w:hint="eastAsia"/>
                <w:sz w:val="24"/>
              </w:rPr>
              <w:t>制造商或维修部买到的专用组件来更换</w:t>
            </w:r>
            <w:r w:rsidRPr="00F3008F">
              <w:rPr>
                <w:rFonts w:ascii="仿宋_GB2312" w:eastAsia="仿宋_GB2312" w:hAnsi="黑体"/>
                <w:sz w:val="24"/>
              </w:rPr>
              <w:t>”</w:t>
            </w:r>
            <w:r w:rsidRPr="00F3008F">
              <w:rPr>
                <w:rFonts w:ascii="仿宋_GB2312" w:eastAsia="仿宋_GB2312" w:hAnsi="黑体"/>
                <w:sz w:val="24"/>
              </w:rPr>
              <w:t>、</w:t>
            </w:r>
            <w:r w:rsidRPr="00F3008F">
              <w:rPr>
                <w:rFonts w:ascii="黑体" w:eastAsia="黑体" w:hAnsi="黑体" w:hint="eastAsia"/>
                <w:sz w:val="24"/>
              </w:rPr>
              <w:t>“如果电源软线损坏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为了避免危险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应由制造商、其维修部或类似部门的专业人员更换”或“电源软线不能更换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如果软线损坏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此热水器应废弃”。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8.2</w:t>
            </w:r>
            <w:r w:rsidRPr="00F3008F">
              <w:rPr>
                <w:rFonts w:ascii="仿宋_GB2312" w:eastAsia="仿宋_GB2312" w:hAnsi="黑体"/>
                <w:sz w:val="24"/>
              </w:rPr>
              <w:t xml:space="preserve"> 敞开式热水器的说明书还应说明：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>“</w:t>
            </w:r>
            <w:r w:rsidRPr="00F3008F">
              <w:rPr>
                <w:rFonts w:ascii="黑体" w:eastAsia="黑体" w:hAnsi="黑体"/>
                <w:sz w:val="24"/>
              </w:rPr>
              <w:t>出口不得连接到非规定的任何水龙头或接头上</w:t>
            </w:r>
            <w:r w:rsidRPr="00F3008F">
              <w:rPr>
                <w:rFonts w:ascii="仿宋_GB2312" w:eastAsia="仿宋_GB2312" w:hAnsi="黑体"/>
                <w:sz w:val="24"/>
              </w:rPr>
              <w:t>”</w:t>
            </w:r>
            <w:r w:rsidRPr="00F3008F">
              <w:rPr>
                <w:rFonts w:ascii="仿宋_GB2312" w:eastAsia="仿宋_GB2312" w:hAnsi="黑体"/>
                <w:sz w:val="24"/>
              </w:rPr>
              <w:t>或</w:t>
            </w:r>
            <w:r w:rsidRPr="00F3008F">
              <w:rPr>
                <w:rFonts w:ascii="仿宋_GB2312" w:eastAsia="仿宋_GB2312" w:hAnsi="黑体"/>
                <w:sz w:val="24"/>
              </w:rPr>
              <w:t>“</w:t>
            </w:r>
            <w:r w:rsidRPr="00F3008F">
              <w:rPr>
                <w:rFonts w:ascii="黑体" w:eastAsia="黑体" w:hAnsi="黑体"/>
                <w:sz w:val="24"/>
              </w:rPr>
              <w:t>出口要保持敞开，不得将其与水龙头或说明规定以外的配件连接</w:t>
            </w:r>
            <w:r w:rsidRPr="00F3008F">
              <w:rPr>
                <w:rFonts w:ascii="仿宋_GB2312" w:eastAsia="仿宋_GB2312" w:hAnsi="黑体"/>
                <w:sz w:val="24"/>
              </w:rPr>
              <w:t>”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lastRenderedPageBreak/>
              <w:t>8.3</w:t>
            </w:r>
            <w:r w:rsidRPr="00F3008F">
              <w:rPr>
                <w:rFonts w:ascii="仿宋_GB2312" w:eastAsia="仿宋_GB2312" w:hAnsi="黑体"/>
                <w:sz w:val="24"/>
              </w:rPr>
              <w:t xml:space="preserve"> 带喷头使用的敞开式热水器（快热式热水器类）的说明书还应说明：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“喷头必须定期除垢”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 xml:space="preserve">8.4 </w:t>
            </w:r>
            <w:r w:rsidRPr="00F3008F">
              <w:rPr>
                <w:rFonts w:ascii="仿宋_GB2312" w:eastAsia="仿宋_GB2312" w:hAnsi="黑体" w:hint="eastAsia"/>
                <w:sz w:val="24"/>
              </w:rPr>
              <w:t>快热式热水器的使用说明还应包括：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“如果热水器中的水有可能结冰，则禁止给热水器接通电源”</w:t>
            </w:r>
            <w:r w:rsidRPr="00F3008F">
              <w:rPr>
                <w:rFonts w:ascii="仿宋_GB2312" w:eastAsia="仿宋_GB2312" w:hAnsi="黑体" w:hint="eastAsia"/>
                <w:sz w:val="24"/>
              </w:rPr>
              <w:t>（如果装有水流开关，则不需要此警示）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 xml:space="preserve">8.5 </w:t>
            </w:r>
            <w:r w:rsidRPr="00F3008F">
              <w:rPr>
                <w:rFonts w:ascii="仿宋_GB2312" w:eastAsia="仿宋_GB2312" w:hAnsi="黑体" w:hint="eastAsia"/>
                <w:sz w:val="24"/>
              </w:rPr>
              <w:t>水槽供水式热水器（</w:t>
            </w:r>
            <w:r w:rsidRPr="00F3008F">
              <w:rPr>
                <w:rFonts w:ascii="仿宋_GB2312" w:eastAsia="仿宋_GB2312" w:hAnsi="黑体"/>
                <w:sz w:val="24"/>
              </w:rPr>
              <w:t>储水式热水器类</w:t>
            </w:r>
            <w:r w:rsidRPr="00F3008F">
              <w:rPr>
                <w:rFonts w:ascii="仿宋_GB2312" w:eastAsia="仿宋_GB2312" w:hAnsi="黑体" w:hint="eastAsia"/>
                <w:sz w:val="24"/>
              </w:rPr>
              <w:t>）使用说明应含有以下警告内容：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“警告：不要将任何压力释放装置与热水器的通气管连接”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本部分内容应使用简体汉字写出。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有或无，是否正确。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>4706.1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2005 7.12.5、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7.13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4706.11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2008 7.12、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7.12.1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4706.12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2006 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7.12.1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9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>出口敞开式热水器（储水式热水器类）</w:t>
            </w:r>
            <w:r w:rsidRPr="00F3008F">
              <w:rPr>
                <w:rFonts w:ascii="黑体" w:eastAsia="黑体" w:hAnsi="黑体"/>
                <w:sz w:val="24"/>
              </w:rPr>
              <w:t>靠近出口处</w:t>
            </w:r>
            <w:r w:rsidRPr="00F3008F">
              <w:rPr>
                <w:rFonts w:ascii="仿宋_GB2312" w:eastAsia="仿宋_GB2312" w:hAnsi="黑体"/>
                <w:sz w:val="24"/>
              </w:rPr>
              <w:t>应标有以下警告内容的说明：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警告：该出口要保持敞开，不得将其与水龙头或其他非制造厂推荐的配件连接。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本部分内容应使用简体汉字写出。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>4706.1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2005 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7.13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4706.12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2006 7.1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电子电气产品有害物质限制使用标志（标志Ⅰ或标志Ⅱ）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标志Ⅰ表示产品不含有害物质，由美术体的“e”和两段带有箭头的线条形成一个循环的圆构成，通常为绿色；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标志Ⅱ表示产品中含有某些有害物质，由一个阿拉伯数字和两段带有箭头的线条形成一个循环的圆构成，通常为橙色；阿拉伯数字代表环保使用期限。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 w:hint="eastAsia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lastRenderedPageBreak/>
              <w:t>标志应直接标识在产品上、或标识于产品说明中，或采用数码格式标识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有或无，是否正确。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《电器电子产品有害物质限制使用管理办法》第十四条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SJ/T 11364-2014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6.1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11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>产品标识了</w:t>
            </w:r>
            <w:r w:rsidRPr="00F3008F">
              <w:rPr>
                <w:rFonts w:ascii="仿宋_GB2312" w:eastAsia="仿宋_GB2312" w:hAnsi="黑体" w:hint="eastAsia"/>
                <w:sz w:val="24"/>
              </w:rPr>
              <w:t>标志Ⅱ，则应</w:t>
            </w:r>
            <w:r w:rsidRPr="00F3008F">
              <w:rPr>
                <w:rFonts w:ascii="黑体" w:eastAsia="黑体" w:hAnsi="黑体" w:hint="eastAsia"/>
                <w:sz w:val="24"/>
              </w:rPr>
              <w:t>在产品说明中用表格的形式列明所含有害物质的名称及含量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表格内容包括</w:t>
            </w:r>
            <w:r w:rsidRPr="00F3008F">
              <w:rPr>
                <w:rFonts w:ascii="黑体" w:eastAsia="黑体" w:hAnsi="黑体"/>
                <w:sz w:val="24"/>
              </w:rPr>
              <w:t>“部件名称、铅</w:t>
            </w:r>
            <w:r w:rsidRPr="00F3008F">
              <w:rPr>
                <w:rFonts w:ascii="黑体" w:eastAsia="黑体" w:hAnsi="黑体" w:hint="eastAsia"/>
                <w:sz w:val="24"/>
              </w:rPr>
              <w:t>(</w:t>
            </w:r>
            <w:proofErr w:type="spellStart"/>
            <w:r w:rsidRPr="00F3008F">
              <w:rPr>
                <w:rFonts w:ascii="黑体" w:eastAsia="黑体" w:hAnsi="黑体"/>
                <w:sz w:val="24"/>
              </w:rPr>
              <w:t>Pb</w:t>
            </w:r>
            <w:proofErr w:type="spellEnd"/>
            <w:r w:rsidRPr="00F3008F">
              <w:rPr>
                <w:rFonts w:ascii="黑体" w:eastAsia="黑体" w:hAnsi="黑体" w:hint="eastAsia"/>
                <w:sz w:val="24"/>
              </w:rPr>
              <w:t>)、汞(</w:t>
            </w:r>
            <w:r w:rsidRPr="00F3008F">
              <w:rPr>
                <w:rFonts w:ascii="黑体" w:eastAsia="黑体" w:hAnsi="黑体"/>
                <w:sz w:val="24"/>
              </w:rPr>
              <w:t>Hg</w:t>
            </w:r>
            <w:r w:rsidRPr="00F3008F">
              <w:rPr>
                <w:rFonts w:ascii="黑体" w:eastAsia="黑体" w:hAnsi="黑体" w:hint="eastAsia"/>
                <w:sz w:val="24"/>
              </w:rPr>
              <w:t>)、镉(</w:t>
            </w:r>
            <w:proofErr w:type="spellStart"/>
            <w:r w:rsidRPr="00F3008F">
              <w:rPr>
                <w:rFonts w:ascii="黑体" w:eastAsia="黑体" w:hAnsi="黑体" w:hint="eastAsia"/>
                <w:sz w:val="24"/>
              </w:rPr>
              <w:t>Cd</w:t>
            </w:r>
            <w:proofErr w:type="spellEnd"/>
            <w:r w:rsidRPr="00F3008F">
              <w:rPr>
                <w:rFonts w:ascii="黑体" w:eastAsia="黑体" w:hAnsi="黑体" w:hint="eastAsia"/>
                <w:sz w:val="24"/>
              </w:rPr>
              <w:t>)、六价铬(Cr(VI))、多溴联苯（PBB）、多溴二苯醚（PBDE）</w:t>
            </w:r>
            <w:r w:rsidRPr="00F3008F">
              <w:rPr>
                <w:rFonts w:ascii="黑体" w:eastAsia="黑体" w:hAnsi="黑体"/>
                <w:sz w:val="24"/>
              </w:rPr>
              <w:t>”及上述有害物质的含量</w:t>
            </w:r>
          </w:p>
          <w:p w:rsidR="006D2B00" w:rsidRPr="00F3008F" w:rsidRDefault="006D2B00" w:rsidP="00315C65">
            <w:pPr>
              <w:jc w:val="left"/>
              <w:rPr>
                <w:rFonts w:ascii="仿宋_GB2312" w:eastAsia="仿宋_GB2312" w:hAnsi="黑体" w:hint="eastAsia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有害物质含量用</w:t>
            </w:r>
            <w:r w:rsidRPr="00F3008F">
              <w:rPr>
                <w:rFonts w:ascii="黑体" w:eastAsia="黑体" w:hAnsi="黑体" w:hint="eastAsia"/>
                <w:sz w:val="24"/>
              </w:rPr>
              <w:t>“</w:t>
            </w:r>
            <w:r w:rsidRPr="00F3008F">
              <w:rPr>
                <w:rFonts w:ascii="黑体" w:eastAsia="黑体" w:hAnsi="黑体" w:cs="微软雅黑" w:hint="eastAsia"/>
                <w:sz w:val="24"/>
              </w:rPr>
              <w:t>〇</w:t>
            </w:r>
            <w:r w:rsidRPr="00F3008F">
              <w:rPr>
                <w:rFonts w:ascii="黑体" w:eastAsia="黑体" w:hAnsi="黑体" w:hint="eastAsia"/>
                <w:sz w:val="24"/>
              </w:rPr>
              <w:t>”或“×”</w:t>
            </w:r>
            <w:r w:rsidRPr="00F3008F">
              <w:rPr>
                <w:rFonts w:ascii="仿宋_GB2312" w:eastAsia="仿宋_GB2312" w:hAnsi="黑体" w:hint="eastAsia"/>
                <w:sz w:val="24"/>
              </w:rPr>
              <w:t>表示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《电器电子产品有害物质限制使用管理办法》第十三条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SJ/T 11364-2014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6.2</w:t>
            </w:r>
          </w:p>
        </w:tc>
      </w:tr>
      <w:tr w:rsidR="006D2B00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>产品标识了</w:t>
            </w:r>
            <w:r w:rsidRPr="00F3008F">
              <w:rPr>
                <w:rFonts w:ascii="仿宋_GB2312" w:eastAsia="仿宋_GB2312" w:hAnsi="黑体" w:hint="eastAsia"/>
                <w:sz w:val="24"/>
              </w:rPr>
              <w:t>标志Ⅱ，则生产日期即为产品环保使用期限的起始日期。</w:t>
            </w:r>
            <w:r w:rsidRPr="00F3008F">
              <w:rPr>
                <w:rFonts w:ascii="黑体" w:eastAsia="黑体" w:hAnsi="黑体" w:hint="eastAsia"/>
                <w:sz w:val="24"/>
              </w:rPr>
              <w:t>生产日期宜标识在产品或产品包装上，标注格式可以采用年、年周、年月、年月日等；</w:t>
            </w:r>
          </w:p>
          <w:p w:rsidR="006D2B00" w:rsidRPr="00F3008F" w:rsidRDefault="006D2B00" w:rsidP="00315C65">
            <w:pPr>
              <w:jc w:val="left"/>
              <w:rPr>
                <w:rFonts w:ascii="黑体" w:eastAsia="黑体" w:hAnsi="黑体" w:hint="eastAsia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采用产品序列号、商品条码等标注方式，生产者或进口者应提供必要的生产日期查询服务。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D2B00" w:rsidRPr="00F3008F" w:rsidRDefault="006D2B00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《电器电子产品有害物质限制使用管理办法》第十三条</w:t>
            </w:r>
          </w:p>
          <w:p w:rsidR="006D2B00" w:rsidRPr="00F3008F" w:rsidRDefault="006D2B00" w:rsidP="00315C65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SJ/T 11364-2014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6.3</w:t>
            </w:r>
          </w:p>
        </w:tc>
      </w:tr>
    </w:tbl>
    <w:p w:rsidR="00D72F6F" w:rsidRDefault="00D72F6F"/>
    <w:sectPr w:rsidR="00D72F6F" w:rsidSect="006D2B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98" w:rsidRDefault="002A6A98" w:rsidP="006D2B00">
      <w:r>
        <w:separator/>
      </w:r>
    </w:p>
  </w:endnote>
  <w:endnote w:type="continuationSeparator" w:id="0">
    <w:p w:rsidR="002A6A98" w:rsidRDefault="002A6A98" w:rsidP="006D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98" w:rsidRDefault="002A6A98" w:rsidP="006D2B00">
      <w:r>
        <w:separator/>
      </w:r>
    </w:p>
  </w:footnote>
  <w:footnote w:type="continuationSeparator" w:id="0">
    <w:p w:rsidR="002A6A98" w:rsidRDefault="002A6A98" w:rsidP="006D2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B00"/>
    <w:rsid w:val="002A6A98"/>
    <w:rsid w:val="006D2B00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B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B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2018-02-13T02:03:00Z</dcterms:created>
  <dcterms:modified xsi:type="dcterms:W3CDTF">2018-02-13T02:03:00Z</dcterms:modified>
</cp:coreProperties>
</file>