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before="120" w:beforeLines="20" w:line="300" w:lineRule="atLeast"/>
        <w:ind w:firstLine="0" w:firstLineChars="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附件3</w:t>
      </w:r>
    </w:p>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0" w:firstLineChars="0"/>
        <w:jc w:val="center"/>
        <w:textAlignment w:val="auto"/>
        <w:outlineLvl w:val="9"/>
        <w:rPr>
          <w:rFonts w:hint="eastAsia" w:ascii="宋体" w:hAnsi="宋体" w:eastAsia="宋体" w:cs="宋体"/>
          <w:b w:val="0"/>
          <w:bCs w:val="0"/>
          <w:spacing w:val="0"/>
          <w:kern w:val="21"/>
          <w:sz w:val="36"/>
          <w:szCs w:val="36"/>
        </w:rPr>
      </w:pPr>
      <w:r>
        <w:rPr>
          <w:rFonts w:hint="eastAsia" w:ascii="宋体" w:hAnsi="宋体" w:eastAsia="宋体" w:cs="宋体"/>
          <w:b w:val="0"/>
          <w:bCs w:val="0"/>
          <w:spacing w:val="0"/>
          <w:kern w:val="21"/>
          <w:sz w:val="36"/>
          <w:szCs w:val="36"/>
        </w:rPr>
        <w:t>现场验收监督工作规范</w:t>
      </w:r>
    </w:p>
    <w:p>
      <w:pPr>
        <w:pStyle w:val="2"/>
        <w:keepNext w:val="0"/>
        <w:keepLines w:val="0"/>
        <w:pageBreakBefore w:val="0"/>
        <w:widowControl w:val="0"/>
        <w:kinsoku/>
        <w:wordWrap/>
        <w:overflowPunct/>
        <w:topLinePunct w:val="0"/>
        <w:autoSpaceDE/>
        <w:autoSpaceDN/>
        <w:bidi w:val="0"/>
        <w:adjustRightInd w:val="0"/>
        <w:snapToGrid w:val="0"/>
        <w:spacing w:before="295" w:beforeLines="50" w:line="410" w:lineRule="atLeast"/>
        <w:ind w:firstLine="480" w:firstLineChars="200"/>
        <w:jc w:val="both"/>
        <w:textAlignment w:val="auto"/>
        <w:outlineLvl w:val="9"/>
        <w:rPr>
          <w:rFonts w:hint="eastAsia" w:ascii="黑体" w:hAnsi="黑体" w:eastAsia="黑体" w:cs="黑体"/>
          <w:b w:val="0"/>
          <w:bCs w:val="0"/>
          <w:spacing w:val="0"/>
          <w:kern w:val="21"/>
          <w:sz w:val="24"/>
          <w:szCs w:val="24"/>
        </w:rPr>
      </w:pPr>
      <w:r>
        <w:rPr>
          <w:rFonts w:hint="eastAsia" w:ascii="黑体" w:hAnsi="黑体" w:eastAsia="黑体" w:cs="黑体"/>
          <w:b w:val="0"/>
          <w:bCs w:val="0"/>
          <w:spacing w:val="0"/>
          <w:kern w:val="21"/>
          <w:sz w:val="24"/>
          <w:szCs w:val="24"/>
        </w:rPr>
        <w:t>一、监督主要内容和方式</w:t>
      </w:r>
    </w:p>
    <w:p>
      <w:pPr>
        <w:pStyle w:val="2"/>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lang w:eastAsia="zh-CN"/>
        </w:rPr>
      </w:pPr>
      <w:r>
        <w:rPr>
          <w:rFonts w:hint="eastAsia" w:ascii="宋体" w:hAnsi="宋体" w:eastAsia="宋体" w:cs="宋体"/>
          <w:b w:val="0"/>
          <w:bCs w:val="0"/>
          <w:spacing w:val="0"/>
          <w:kern w:val="21"/>
          <w:sz w:val="24"/>
          <w:szCs w:val="24"/>
        </w:rPr>
        <w:t>（一）审核验收评审工作方案</w:t>
      </w:r>
      <w:r>
        <w:rPr>
          <w:rFonts w:hint="eastAsia" w:ascii="宋体" w:hAnsi="宋体" w:eastAsia="宋体" w:cs="宋体"/>
          <w:b w:val="0"/>
          <w:bCs w:val="0"/>
          <w:spacing w:val="0"/>
          <w:kern w:val="21"/>
          <w:sz w:val="24"/>
          <w:szCs w:val="24"/>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验收评审会议前，市发展改革委对验收服务机构提供的具体项目验收工作方案进行备案，对项目验收专家、验收程序和方式、验收评价重点问题等进行把关。</w:t>
      </w:r>
    </w:p>
    <w:p>
      <w:pPr>
        <w:pStyle w:val="2"/>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lang w:eastAsia="zh-CN"/>
        </w:rPr>
      </w:pPr>
      <w:r>
        <w:rPr>
          <w:rFonts w:hint="eastAsia" w:ascii="宋体" w:hAnsi="宋体" w:eastAsia="宋体" w:cs="宋体"/>
          <w:b w:val="0"/>
          <w:bCs w:val="0"/>
          <w:spacing w:val="0"/>
          <w:kern w:val="21"/>
          <w:sz w:val="24"/>
          <w:szCs w:val="24"/>
        </w:rPr>
        <w:t>（二）开展现场监督</w:t>
      </w:r>
      <w:r>
        <w:rPr>
          <w:rFonts w:hint="eastAsia" w:ascii="宋体" w:hAnsi="宋体" w:eastAsia="宋体" w:cs="宋体"/>
          <w:b w:val="0"/>
          <w:bCs w:val="0"/>
          <w:spacing w:val="0"/>
          <w:kern w:val="21"/>
          <w:sz w:val="24"/>
          <w:szCs w:val="24"/>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验收评审会议期间，市发展改革委对验收服务机构在项目验收组织实施情况、执行工作规范情况以及验收专家执行评审工作纪律以及工作规范情况等进行现场监督。现场监督方式分为随机监督检查和专项监督检查。专项监</w:t>
      </w:r>
      <w:r>
        <w:rPr>
          <w:rFonts w:hint="eastAsia" w:ascii="宋体" w:hAnsi="宋体" w:eastAsia="宋体" w:cs="宋体"/>
          <w:b w:val="0"/>
          <w:bCs w:val="0"/>
          <w:spacing w:val="0"/>
          <w:kern w:val="21"/>
          <w:sz w:val="24"/>
          <w:szCs w:val="24"/>
          <w:lang w:eastAsia="zh-CN"/>
        </w:rPr>
        <w:t>督</w:t>
      </w:r>
      <w:r>
        <w:rPr>
          <w:rFonts w:hint="eastAsia" w:ascii="宋体" w:hAnsi="宋体" w:eastAsia="宋体" w:cs="宋体"/>
          <w:b w:val="0"/>
          <w:bCs w:val="0"/>
          <w:spacing w:val="0"/>
          <w:kern w:val="21"/>
          <w:sz w:val="24"/>
          <w:szCs w:val="24"/>
        </w:rPr>
        <w:t>检查是针对资助金额较大以及存在疑点问题的项目验收进行监督检查。</w:t>
      </w:r>
    </w:p>
    <w:p>
      <w:pPr>
        <w:pStyle w:val="2"/>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lang w:eastAsia="zh-CN"/>
        </w:rPr>
      </w:pPr>
      <w:r>
        <w:rPr>
          <w:rFonts w:hint="eastAsia" w:ascii="宋体" w:hAnsi="宋体" w:eastAsia="宋体" w:cs="宋体"/>
          <w:b w:val="0"/>
          <w:bCs w:val="0"/>
          <w:spacing w:val="0"/>
          <w:kern w:val="21"/>
          <w:sz w:val="24"/>
          <w:szCs w:val="24"/>
        </w:rPr>
        <w:t>（三）开展事后跟踪评价</w:t>
      </w:r>
      <w:r>
        <w:rPr>
          <w:rFonts w:hint="eastAsia" w:ascii="宋体" w:hAnsi="宋体" w:eastAsia="宋体" w:cs="宋体"/>
          <w:b w:val="0"/>
          <w:bCs w:val="0"/>
          <w:spacing w:val="0"/>
          <w:kern w:val="21"/>
          <w:sz w:val="24"/>
          <w:szCs w:val="24"/>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验收评审会议结束后，市发展改革委对部分项目开展事后跟踪评价，对项目验收组织实施、专家评审是否符合验收管理规范要求进行核查。</w:t>
      </w:r>
    </w:p>
    <w:p>
      <w:pPr>
        <w:pStyle w:val="2"/>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lang w:eastAsia="zh-CN"/>
        </w:rPr>
      </w:pPr>
      <w:r>
        <w:rPr>
          <w:rFonts w:hint="eastAsia" w:ascii="宋体" w:hAnsi="宋体" w:eastAsia="宋体" w:cs="宋体"/>
          <w:b w:val="0"/>
          <w:bCs w:val="0"/>
          <w:spacing w:val="0"/>
          <w:kern w:val="21"/>
          <w:sz w:val="24"/>
          <w:szCs w:val="24"/>
        </w:rPr>
        <w:t>（四）受理投诉举报</w:t>
      </w:r>
      <w:r>
        <w:rPr>
          <w:rFonts w:hint="eastAsia" w:ascii="宋体" w:hAnsi="宋体" w:eastAsia="宋体" w:cs="宋体"/>
          <w:b w:val="0"/>
          <w:bCs w:val="0"/>
          <w:spacing w:val="0"/>
          <w:kern w:val="21"/>
          <w:sz w:val="24"/>
          <w:szCs w:val="24"/>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市发展改革委通过电话、邮箱等方式受理对项目单位、验收服务机构和验收专家的投诉举报，调查、核实投诉反映的有关情况，必要时，应组织专家对投诉事项提出咨询意见。市发展改革委将根据调查结果调整项目验收结论。</w:t>
      </w:r>
    </w:p>
    <w:p>
      <w:pPr>
        <w:pStyle w:val="2"/>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黑体" w:hAnsi="黑体" w:eastAsia="黑体" w:cs="黑体"/>
          <w:b w:val="0"/>
          <w:bCs w:val="0"/>
          <w:spacing w:val="0"/>
          <w:kern w:val="21"/>
          <w:sz w:val="24"/>
          <w:szCs w:val="24"/>
        </w:rPr>
      </w:pPr>
      <w:r>
        <w:rPr>
          <w:rFonts w:hint="eastAsia" w:ascii="黑体" w:hAnsi="黑体" w:eastAsia="黑体" w:cs="黑体"/>
          <w:b w:val="0"/>
          <w:bCs w:val="0"/>
          <w:spacing w:val="0"/>
          <w:kern w:val="21"/>
          <w:sz w:val="24"/>
          <w:szCs w:val="24"/>
        </w:rPr>
        <w:t>二、监督检查频次</w:t>
      </w:r>
    </w:p>
    <w:p>
      <w:pPr>
        <w:pStyle w:val="2"/>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市发展改革委每年开展现场监督、事后跟踪评价的项目数不少于当年开展项目现场验收数的30%。</w:t>
      </w:r>
    </w:p>
    <w:p>
      <w:pPr>
        <w:pStyle w:val="2"/>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黑体" w:hAnsi="黑体" w:eastAsia="黑体" w:cs="黑体"/>
          <w:b w:val="0"/>
          <w:bCs w:val="0"/>
          <w:spacing w:val="0"/>
          <w:kern w:val="21"/>
          <w:sz w:val="24"/>
          <w:szCs w:val="24"/>
        </w:rPr>
      </w:pPr>
      <w:r>
        <w:rPr>
          <w:rFonts w:hint="eastAsia" w:ascii="黑体" w:hAnsi="黑体" w:eastAsia="黑体" w:cs="黑体"/>
          <w:b w:val="0"/>
          <w:bCs w:val="0"/>
          <w:spacing w:val="0"/>
          <w:kern w:val="21"/>
          <w:sz w:val="24"/>
          <w:szCs w:val="24"/>
        </w:rPr>
        <w:t>三、监督检查实施</w:t>
      </w:r>
    </w:p>
    <w:p>
      <w:pPr>
        <w:pStyle w:val="2"/>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监督检查过程中，市发展改革委填写监督记录并形成检查工作台账。现场监督中，对发现违反工作纪律、评审程序的行为要及时纠正。</w:t>
      </w:r>
    </w:p>
    <w:p>
      <w:pPr>
        <w:pStyle w:val="2"/>
        <w:keepNext w:val="0"/>
        <w:keepLines w:val="0"/>
        <w:pageBreakBefore w:val="0"/>
        <w:widowControl w:val="0"/>
        <w:kinsoku/>
        <w:wordWrap/>
        <w:overflowPunct/>
        <w:topLinePunct w:val="0"/>
        <w:autoSpaceDE/>
        <w:autoSpaceDN/>
        <w:bidi w:val="0"/>
        <w:adjustRightInd w:val="0"/>
        <w:snapToGrid w:val="0"/>
        <w:spacing w:line="410"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对监督检查工作中发现的问题，市发展改革委应对验收服务机构发出整改通知书，明确整改要求和时限。对存在严重违反项目验收管理规定情形的，市发展改革委将按照项目验收实施细则</w:t>
      </w:r>
      <w:r>
        <w:rPr>
          <w:rFonts w:hint="eastAsia" w:ascii="宋体" w:hAnsi="宋体" w:eastAsia="宋体" w:cs="宋体"/>
          <w:b w:val="0"/>
          <w:bCs w:val="0"/>
          <w:spacing w:val="0"/>
          <w:kern w:val="21"/>
          <w:sz w:val="24"/>
          <w:szCs w:val="24"/>
          <w:lang w:eastAsia="zh-CN"/>
        </w:rPr>
        <w:t>第二十四条</w:t>
      </w:r>
      <w:r>
        <w:rPr>
          <w:rFonts w:hint="eastAsia" w:ascii="宋体" w:hAnsi="宋体" w:eastAsia="宋体" w:cs="宋体"/>
          <w:b w:val="0"/>
          <w:bCs w:val="0"/>
          <w:spacing w:val="0"/>
          <w:kern w:val="21"/>
          <w:sz w:val="24"/>
          <w:szCs w:val="24"/>
        </w:rPr>
        <w:t>予以处置。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OTAxZWIyOGZkNmIyMjIyZGRlYTRkZmZjMTRjYWQifQ=="/>
  </w:docVars>
  <w:rsids>
    <w:rsidRoot w:val="1B336A14"/>
    <w:rsid w:val="1B33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line="580" w:lineRule="exact"/>
      <w:jc w:val="center"/>
      <w:outlineLvl w:val="0"/>
    </w:pPr>
    <w:rPr>
      <w:rFonts w:ascii="Arial" w:hAnsi="Arial" w:eastAsia="隶书" w:cs="Arial"/>
      <w:b/>
      <w:bCs/>
      <w:sz w:val="4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2023-02-08T01:42:00Z</dcterms:created>
  <dc:creator>龙瑶</dc:creator>
  <cp:lastModifiedBy>龙瑶</cp:lastModifiedBy>
  <dcterms:modified xsi:type="dcterms:W3CDTF">2023-02-08T01:43:10Z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B4F56D558B2F48C8A205A73A90131DC3</vt:lpwstr>
  </property>
</Properties>
</file>