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Lines="0" w:after="0" w:afterLines="0" w:line="579" w:lineRule="exact"/>
        <w:rPr>
          <w:rFonts w:hint="eastAsia"/>
          <w:u w:val="none" w:color="auto"/>
          <w:lang w:val="en-US" w:eastAsia="zh-CN"/>
        </w:rPr>
      </w:pPr>
      <w:bookmarkStart w:id="0" w:name="_GoBack"/>
      <w:bookmarkEnd w:id="0"/>
    </w:p>
    <w:p>
      <w:pPr>
        <w:spacing w:beforeLines="0" w:afterLines="0" w:line="579" w:lineRule="exact"/>
        <w:jc w:val="center"/>
        <w:rPr>
          <w:rFonts w:hint="eastAsia" w:ascii="方正小标宋_GBK" w:hAnsi="方正小标宋_GBK" w:eastAsia="方正小标宋_GBK" w:cs="方正小标宋_GBK"/>
          <w:b w:val="0"/>
          <w:bCs w:val="0"/>
          <w:sz w:val="44"/>
          <w:szCs w:val="44"/>
          <w:u w:val="none" w:color="auto"/>
          <w:lang w:val="en-US" w:eastAsia="zh-CN"/>
        </w:rPr>
      </w:pPr>
      <w:r>
        <w:rPr>
          <w:rFonts w:hint="eastAsia" w:ascii="方正小标宋_GBK" w:hAnsi="方正小标宋_GBK" w:eastAsia="方正小标宋_GBK" w:cs="方正小标宋_GBK"/>
          <w:b w:val="0"/>
          <w:bCs w:val="0"/>
          <w:sz w:val="44"/>
          <w:szCs w:val="44"/>
          <w:u w:val="none" w:color="auto"/>
          <w:lang w:val="en-US" w:eastAsia="zh-CN"/>
        </w:rPr>
        <w:t>深圳市财政支持碳达峰碳中和的实施意见</w:t>
      </w:r>
    </w:p>
    <w:p>
      <w:pPr>
        <w:pStyle w:val="2"/>
        <w:spacing w:beforeLines="0" w:afterLines="0" w:line="579" w:lineRule="exact"/>
        <w:jc w:val="center"/>
        <w:rPr>
          <w:rFonts w:hint="eastAsia" w:ascii="楷体_GB2312" w:hAnsi="楷体_GB2312" w:eastAsia="楷体_GB2312" w:cs="楷体_GB2312"/>
          <w:b w:val="0"/>
          <w:bCs w:val="0"/>
          <w:sz w:val="32"/>
          <w:szCs w:val="32"/>
          <w:u w:val="none" w:color="auto"/>
          <w:lang w:val="en-US" w:eastAsia="zh-CN"/>
        </w:rPr>
      </w:pPr>
      <w:r>
        <w:rPr>
          <w:rFonts w:hint="eastAsia" w:ascii="楷体_GB2312" w:hAnsi="楷体_GB2312" w:eastAsia="楷体_GB2312" w:cs="楷体_GB2312"/>
          <w:b w:val="0"/>
          <w:bCs w:val="0"/>
          <w:sz w:val="32"/>
          <w:szCs w:val="32"/>
          <w:u w:val="none" w:color="auto"/>
          <w:lang w:val="en-US" w:eastAsia="zh-CN"/>
        </w:rPr>
        <w:t>（征求意见稿）</w:t>
      </w:r>
    </w:p>
    <w:p>
      <w:pPr>
        <w:pStyle w:val="2"/>
        <w:spacing w:beforeLines="0" w:afterLines="0" w:line="579" w:lineRule="exact"/>
        <w:rPr>
          <w:rFonts w:hint="eastAsia"/>
          <w:u w:val="none" w:color="auto"/>
          <w:lang w:val="en-US" w:eastAsia="zh-CN"/>
        </w:rPr>
      </w:pPr>
    </w:p>
    <w:p>
      <w:pPr>
        <w:keepNext w:val="0"/>
        <w:keepLines w:val="0"/>
        <w:pageBreakBefore w:val="0"/>
        <w:kinsoku/>
        <w:wordWrap/>
        <w:topLinePunct w:val="0"/>
        <w:bidi w:val="0"/>
        <w:adjustRightInd/>
        <w:snapToGrid/>
        <w:spacing w:beforeLines="0" w:afterLines="0" w:line="579" w:lineRule="exact"/>
        <w:ind w:firstLine="640" w:firstLineChars="200"/>
        <w:rPr>
          <w:rFonts w:hint="eastAsia" w:ascii="仿宋_GB2312" w:hAnsi="仿宋_GB2312" w:eastAsia="仿宋_GB2312" w:cs="仿宋_GB2312"/>
          <w:i w:val="0"/>
          <w:iCs w:val="0"/>
          <w:caps w:val="0"/>
          <w:color w:val="auto"/>
          <w:spacing w:val="0"/>
          <w:sz w:val="32"/>
          <w:szCs w:val="32"/>
          <w:u w:val="none" w:color="auto"/>
          <w:shd w:val="clear" w:color="auto" w:fill="FFFFFF"/>
          <w:lang w:eastAsia="zh-CN"/>
        </w:rPr>
      </w:pPr>
      <w:r>
        <w:rPr>
          <w:rFonts w:hint="eastAsia" w:ascii="仿宋_GB2312" w:hAnsi="仿宋_GB2312" w:eastAsia="仿宋_GB2312" w:cs="仿宋_GB2312"/>
          <w:color w:val="auto"/>
          <w:sz w:val="32"/>
          <w:szCs w:val="32"/>
          <w:u w:val="none" w:color="auto"/>
          <w:lang w:eastAsia="zh-CN"/>
        </w:rPr>
        <w:t>为深入贯彻落实</w:t>
      </w:r>
      <w:r>
        <w:rPr>
          <w:rFonts w:hint="eastAsia" w:ascii="仿宋_GB2312" w:hAnsi="仿宋_GB2312" w:eastAsia="仿宋_GB2312" w:cs="仿宋_GB2312"/>
          <w:color w:val="auto"/>
          <w:sz w:val="32"/>
          <w:szCs w:val="32"/>
          <w:highlight w:val="none"/>
          <w:u w:val="none" w:color="auto"/>
          <w:lang w:eastAsia="zh-CN"/>
        </w:rPr>
        <w:t>党中央、国务院关于</w:t>
      </w:r>
      <w:r>
        <w:rPr>
          <w:rFonts w:hint="eastAsia" w:ascii="仿宋_GB2312" w:hAnsi="仿宋_GB2312" w:eastAsia="仿宋_GB2312" w:cs="仿宋_GB2312"/>
          <w:color w:val="auto"/>
          <w:sz w:val="32"/>
          <w:szCs w:val="32"/>
          <w:u w:val="none" w:color="auto"/>
          <w:lang w:eastAsia="zh-CN"/>
        </w:rPr>
        <w:t>碳达峰碳中和重大战略决策，根据财政部《财政支持做好碳达峰碳中和工作的意见》《关于支持深圳探索创新财政政策体系与管理体制的实施意见》等文件精神，按照省、市关于碳达峰碳中和工作的统一部署要求，市财政充分发挥在碳达峰碳中和工作中的基础性支撑性和引导性作用。</w:t>
      </w:r>
      <w:r>
        <w:rPr>
          <w:rFonts w:hint="eastAsia" w:ascii="仿宋_GB2312" w:hAnsi="仿宋_GB2312" w:eastAsia="仿宋_GB2312" w:cs="仿宋_GB2312"/>
          <w:i w:val="0"/>
          <w:iCs w:val="0"/>
          <w:caps w:val="0"/>
          <w:color w:val="auto"/>
          <w:spacing w:val="0"/>
          <w:sz w:val="32"/>
          <w:szCs w:val="32"/>
          <w:u w:val="none" w:color="auto"/>
          <w:shd w:val="clear" w:color="auto" w:fill="FFFFFF"/>
        </w:rPr>
        <w:t>现就</w:t>
      </w:r>
      <w:r>
        <w:rPr>
          <w:rFonts w:hint="eastAsia" w:ascii="仿宋_GB2312" w:hAnsi="仿宋_GB2312" w:eastAsia="仿宋_GB2312" w:cs="仿宋_GB2312"/>
          <w:i w:val="0"/>
          <w:iCs w:val="0"/>
          <w:caps w:val="0"/>
          <w:color w:val="auto"/>
          <w:spacing w:val="0"/>
          <w:sz w:val="32"/>
          <w:szCs w:val="32"/>
          <w:u w:val="none" w:color="auto"/>
          <w:shd w:val="clear" w:color="auto" w:fill="FFFFFF"/>
          <w:lang w:eastAsia="zh-CN"/>
        </w:rPr>
        <w:t>我市</w:t>
      </w:r>
      <w:r>
        <w:rPr>
          <w:rFonts w:hint="eastAsia" w:ascii="仿宋_GB2312" w:hAnsi="仿宋_GB2312" w:eastAsia="仿宋_GB2312" w:cs="仿宋_GB2312"/>
          <w:i w:val="0"/>
          <w:iCs w:val="0"/>
          <w:caps w:val="0"/>
          <w:color w:val="auto"/>
          <w:spacing w:val="0"/>
          <w:sz w:val="32"/>
          <w:szCs w:val="32"/>
          <w:u w:val="none" w:color="auto"/>
          <w:shd w:val="clear" w:color="auto" w:fill="FFFFFF"/>
        </w:rPr>
        <w:t>财政支持做好碳达峰碳中和工作,提出如下实施意见</w:t>
      </w:r>
      <w:r>
        <w:rPr>
          <w:rFonts w:hint="eastAsia" w:ascii="仿宋_GB2312" w:hAnsi="仿宋_GB2312" w:eastAsia="仿宋_GB2312" w:cs="仿宋_GB2312"/>
          <w:i w:val="0"/>
          <w:iCs w:val="0"/>
          <w:caps w:val="0"/>
          <w:color w:val="auto"/>
          <w:spacing w:val="0"/>
          <w:sz w:val="32"/>
          <w:szCs w:val="32"/>
          <w:u w:val="none" w:color="auto"/>
          <w:shd w:val="clear" w:color="auto" w:fill="FFFFFF"/>
          <w:lang w:eastAsia="zh-CN"/>
        </w:rPr>
        <w:t>：</w:t>
      </w:r>
    </w:p>
    <w:p>
      <w:pPr>
        <w:keepNext w:val="0"/>
        <w:keepLines w:val="0"/>
        <w:pageBreakBefore w:val="0"/>
        <w:numPr>
          <w:ilvl w:val="0"/>
          <w:numId w:val="0"/>
        </w:numPr>
        <w:kinsoku/>
        <w:wordWrap/>
        <w:topLinePunct w:val="0"/>
        <w:bidi w:val="0"/>
        <w:adjustRightInd/>
        <w:snapToGrid/>
        <w:spacing w:beforeLines="0" w:afterLines="0" w:line="579" w:lineRule="exact"/>
        <w:ind w:firstLine="640" w:firstLineChars="200"/>
        <w:rPr>
          <w:rFonts w:hint="eastAsia" w:ascii="黑体" w:hAnsi="黑体" w:eastAsia="黑体" w:cs="黑体"/>
          <w:i w:val="0"/>
          <w:iCs w:val="0"/>
          <w:caps w:val="0"/>
          <w:color w:val="auto"/>
          <w:spacing w:val="0"/>
          <w:sz w:val="32"/>
          <w:szCs w:val="32"/>
          <w:u w:val="none" w:color="auto"/>
          <w:shd w:val="clear" w:color="auto" w:fill="FFFFFF"/>
          <w:lang w:val="en-US" w:eastAsia="zh-CN"/>
        </w:rPr>
      </w:pPr>
      <w:r>
        <w:rPr>
          <w:rFonts w:hint="eastAsia" w:ascii="黑体" w:hAnsi="黑体" w:eastAsia="黑体" w:cs="黑体"/>
          <w:i w:val="0"/>
          <w:iCs w:val="0"/>
          <w:caps w:val="0"/>
          <w:color w:val="auto"/>
          <w:spacing w:val="0"/>
          <w:sz w:val="32"/>
          <w:szCs w:val="32"/>
          <w:u w:val="none" w:color="auto"/>
          <w:shd w:val="clear" w:color="auto" w:fill="FFFFFF"/>
          <w:lang w:val="en-US" w:eastAsia="zh-CN"/>
        </w:rPr>
        <w:t>一、总体要求</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firstLine="640" w:firstLineChars="200"/>
        <w:textAlignment w:val="auto"/>
        <w:rPr>
          <w:rFonts w:hint="eastAsia" w:ascii="楷体_GB2312" w:hAnsi="楷体_GB2312" w:eastAsia="楷体_GB2312" w:cs="楷体_GB2312"/>
          <w:color w:val="auto"/>
          <w:sz w:val="32"/>
          <w:szCs w:val="32"/>
          <w:u w:val="none" w:color="auto"/>
          <w:lang w:val="en-US" w:eastAsia="zh-CN"/>
        </w:rPr>
      </w:pPr>
      <w:r>
        <w:rPr>
          <w:rFonts w:hint="eastAsia" w:ascii="楷体_GB2312" w:hAnsi="楷体_GB2312" w:eastAsia="楷体_GB2312" w:cs="楷体_GB2312"/>
          <w:color w:val="auto"/>
          <w:sz w:val="32"/>
          <w:szCs w:val="32"/>
          <w:u w:val="none" w:color="auto"/>
          <w:lang w:val="en-US" w:eastAsia="zh-CN"/>
        </w:rPr>
        <w:t>（一）指导思想</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u w:val="none" w:color="auto"/>
          <w:lang w:val="en-US" w:eastAsia="zh-CN"/>
        </w:rPr>
        <w:t>坚持以习近平新时代中国特色社会主义思想为指导，全面贯彻落实党的二十大精神，深入贯彻习近平生态文明思想和习近平总书记对广东、深圳系列重要讲话和重要指示精神，立足新发展阶段，完整、准确、全面贯彻新发展理念，服务构建新发展格局，</w:t>
      </w:r>
      <w:r>
        <w:rPr>
          <w:rFonts w:hint="eastAsia" w:ascii="仿宋_GB2312" w:hAnsi="仿宋_GB2312" w:eastAsia="仿宋_GB2312" w:cs="仿宋_GB2312"/>
          <w:color w:val="auto"/>
          <w:sz w:val="32"/>
          <w:szCs w:val="32"/>
          <w:u w:val="none" w:color="auto"/>
          <w:lang w:eastAsia="zh-CN"/>
        </w:rPr>
        <w:t>推动高质量发展</w:t>
      </w:r>
      <w:r>
        <w:rPr>
          <w:rFonts w:hint="eastAsia" w:ascii="仿宋_GB2312" w:hAnsi="仿宋_GB2312" w:eastAsia="仿宋_GB2312" w:cs="仿宋_GB2312"/>
          <w:color w:val="auto"/>
          <w:sz w:val="32"/>
          <w:szCs w:val="32"/>
          <w:u w:val="none" w:color="auto"/>
          <w:lang w:val="en-US" w:eastAsia="zh-CN"/>
        </w:rPr>
        <w:t>。坚持</w:t>
      </w:r>
      <w:r>
        <w:rPr>
          <w:rFonts w:hint="eastAsia" w:ascii="仿宋_GB2312" w:hAnsi="仿宋_GB2312" w:eastAsia="仿宋_GB2312" w:cs="仿宋_GB2312"/>
          <w:color w:val="auto"/>
          <w:sz w:val="32"/>
          <w:szCs w:val="32"/>
          <w:u w:val="none" w:color="auto"/>
          <w:lang w:eastAsia="zh-CN"/>
        </w:rPr>
        <w:t>以经济社会发展全面绿色转型为引领，加快构建有力促进绿色低碳发展的财政政策体系，引导带动更多社会资源向绿色低碳发展成效好的产业、行业、领域等集聚，全面支持科学降碳、精准降碳、依法降碳、安全降碳，推动</w:t>
      </w:r>
      <w:r>
        <w:rPr>
          <w:rFonts w:hint="eastAsia" w:ascii="仿宋_GB2312" w:hAnsi="仿宋_GB2312" w:eastAsia="仿宋_GB2312" w:cs="仿宋_GB2312"/>
          <w:color w:val="auto"/>
          <w:sz w:val="32"/>
          <w:szCs w:val="32"/>
          <w:u w:val="none" w:color="auto"/>
          <w:lang w:val="en-US" w:eastAsia="zh-CN"/>
        </w:rPr>
        <w:t>我市以先行示范标准实现碳达峰碳中和目标。</w:t>
      </w:r>
    </w:p>
    <w:p>
      <w:pPr>
        <w:keepNext w:val="0"/>
        <w:keepLines w:val="0"/>
        <w:pageBreakBefore w:val="0"/>
        <w:numPr>
          <w:ilvl w:val="0"/>
          <w:numId w:val="0"/>
        </w:numPr>
        <w:kinsoku/>
        <w:wordWrap/>
        <w:topLinePunct w:val="0"/>
        <w:bidi w:val="0"/>
        <w:adjustRightInd/>
        <w:snapToGrid/>
        <w:spacing w:beforeLines="0" w:afterLines="0" w:line="579" w:lineRule="exact"/>
        <w:ind w:firstLine="640" w:firstLineChars="200"/>
        <w:rPr>
          <w:rFonts w:hint="eastAsia" w:ascii="楷体_GB2312" w:hAnsi="楷体_GB2312" w:eastAsia="楷体_GB2312" w:cs="楷体_GB2312"/>
          <w:color w:val="auto"/>
          <w:sz w:val="32"/>
          <w:szCs w:val="32"/>
          <w:u w:val="none" w:color="auto"/>
          <w:lang w:eastAsia="zh-CN"/>
        </w:rPr>
      </w:pPr>
      <w:r>
        <w:rPr>
          <w:rFonts w:hint="eastAsia" w:ascii="楷体_GB2312" w:hAnsi="楷体_GB2312" w:eastAsia="楷体_GB2312" w:cs="楷体_GB2312"/>
          <w:color w:val="auto"/>
          <w:sz w:val="32"/>
          <w:szCs w:val="32"/>
          <w:u w:val="none" w:color="auto"/>
          <w:lang w:eastAsia="zh-CN"/>
        </w:rPr>
        <w:t>（二）基本原则</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42" w:firstLineChars="200"/>
        <w:jc w:val="both"/>
        <w:textAlignment w:val="auto"/>
        <w:rPr>
          <w:rFonts w:hint="eastAsia" w:ascii="仿宋_GB2312" w:hAnsi="仿宋_GB2312" w:eastAsia="仿宋_GB2312" w:cs="仿宋_GB2312"/>
          <w:b/>
          <w:bCs/>
          <w:color w:val="000000"/>
          <w:sz w:val="32"/>
          <w:szCs w:val="32"/>
          <w:u w:val="none" w:color="auto"/>
          <w:lang w:val="en-US" w:eastAsia="zh-CN"/>
        </w:rPr>
      </w:pPr>
      <w:r>
        <w:rPr>
          <w:rFonts w:hint="eastAsia" w:ascii="仿宋_GB2312" w:hAnsi="仿宋_GB2312" w:eastAsia="仿宋_GB2312" w:cs="仿宋_GB2312"/>
          <w:b/>
          <w:bCs/>
          <w:i w:val="0"/>
          <w:caps w:val="0"/>
          <w:color w:val="auto"/>
          <w:spacing w:val="0"/>
          <w:kern w:val="21"/>
          <w:sz w:val="32"/>
          <w:szCs w:val="32"/>
          <w:u w:val="none" w:color="auto"/>
          <w:shd w:val="clear" w:color="auto" w:fill="FFFFFF"/>
          <w:lang w:eastAsia="zh-CN"/>
        </w:rPr>
        <w:t>政策引领，先行示范。</w:t>
      </w:r>
      <w:r>
        <w:rPr>
          <w:rFonts w:hint="eastAsia" w:ascii="仿宋_GB2312" w:hAnsi="仿宋_GB2312" w:eastAsia="仿宋_GB2312" w:cs="仿宋_GB2312"/>
          <w:b w:val="0"/>
          <w:bCs w:val="0"/>
          <w:i w:val="0"/>
          <w:caps w:val="0"/>
          <w:color w:val="auto"/>
          <w:spacing w:val="0"/>
          <w:kern w:val="21"/>
          <w:sz w:val="32"/>
          <w:szCs w:val="32"/>
          <w:u w:val="none" w:color="auto"/>
          <w:shd w:val="clear" w:color="auto" w:fill="FFFFFF"/>
          <w:lang w:eastAsia="zh-CN"/>
        </w:rPr>
        <w:t>立足深圳资源环境禀赋条件和经济社会发展实际，按照以先行示范标准实现碳达峰碳中和目标要求，加快构建目标明确、导向清晰、精准高效的财政政策体系，积极</w:t>
      </w:r>
      <w:r>
        <w:rPr>
          <w:rFonts w:hint="eastAsia" w:ascii="仿宋_GB2312" w:hAnsi="仿宋_GB2312" w:eastAsia="仿宋_GB2312" w:cs="仿宋_GB2312"/>
          <w:color w:val="000000"/>
          <w:sz w:val="32"/>
          <w:szCs w:val="32"/>
          <w:highlight w:val="none"/>
          <w:u w:val="none" w:color="auto"/>
          <w:lang w:eastAsia="zh-CN"/>
        </w:rPr>
        <w:t>探索超大型城市财政支持协同推进降碳、减污、扩绿、增长的有效路径。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val="0"/>
        <w:autoSpaceDN w:val="0"/>
        <w:bidi w:val="0"/>
        <w:adjustRightInd/>
        <w:snapToGrid/>
        <w:spacing w:before="0" w:beforeLines="0" w:beforeAutospacing="0" w:after="0" w:afterLines="0" w:afterAutospacing="0" w:line="579" w:lineRule="exact"/>
        <w:ind w:left="0" w:right="0" w:firstLine="642" w:firstLineChars="200"/>
        <w:jc w:val="both"/>
        <w:textAlignment w:val="auto"/>
        <w:rPr>
          <w:rFonts w:hint="eastAsia" w:ascii="仿宋_GB2312" w:hAnsi="仿宋_GB2312" w:eastAsia="仿宋_GB2312" w:cs="仿宋_GB2312"/>
          <w:color w:val="auto"/>
          <w:spacing w:val="0"/>
          <w:kern w:val="21"/>
          <w:sz w:val="32"/>
          <w:szCs w:val="32"/>
          <w:u w:val="none" w:color="auto"/>
          <w:shd w:val="clear" w:color="auto" w:fill="auto"/>
          <w:lang w:eastAsia="zh-CN"/>
        </w:rPr>
      </w:pPr>
      <w:r>
        <w:rPr>
          <w:rFonts w:hint="eastAsia" w:ascii="仿宋_GB2312" w:hAnsi="仿宋_GB2312" w:eastAsia="仿宋_GB2312" w:cs="仿宋_GB2312"/>
          <w:b/>
          <w:bCs/>
          <w:i w:val="0"/>
          <w:caps w:val="0"/>
          <w:color w:val="auto"/>
          <w:spacing w:val="0"/>
          <w:kern w:val="21"/>
          <w:sz w:val="32"/>
          <w:szCs w:val="32"/>
          <w:u w:val="none" w:color="auto"/>
          <w:shd w:val="clear" w:color="auto" w:fill="FFFFFF"/>
          <w:lang w:eastAsia="zh-CN"/>
        </w:rPr>
        <w:t>聚焦重点，分类施策。</w:t>
      </w:r>
      <w:r>
        <w:rPr>
          <w:rFonts w:hint="eastAsia" w:ascii="仿宋_GB2312" w:hAnsi="仿宋_GB2312" w:eastAsia="仿宋_GB2312" w:cs="仿宋_GB2312"/>
          <w:b w:val="0"/>
          <w:bCs w:val="0"/>
          <w:i w:val="0"/>
          <w:caps w:val="0"/>
          <w:color w:val="auto"/>
          <w:spacing w:val="0"/>
          <w:kern w:val="21"/>
          <w:sz w:val="32"/>
          <w:szCs w:val="32"/>
          <w:u w:val="none" w:color="auto"/>
          <w:shd w:val="clear" w:color="auto" w:fill="FFFFFF"/>
          <w:lang w:eastAsia="zh-CN"/>
        </w:rPr>
        <w:t>坚持系统治理，落实积极的财政政策加力提效要求，聚焦重点工作，强化预算刚性约束，稳妥有序推进碳达峰碳中和；科学研判碳达峰碳中和工作形势，分类制定财政政策措施，提高财政政策的精准性和有效性。</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val="0"/>
        <w:autoSpaceDN w:val="0"/>
        <w:bidi w:val="0"/>
        <w:adjustRightInd/>
        <w:snapToGrid/>
        <w:spacing w:before="0" w:beforeLines="0" w:beforeAutospacing="0" w:after="0" w:afterLines="0" w:afterAutospacing="0" w:line="579" w:lineRule="exact"/>
        <w:ind w:left="0" w:right="0" w:firstLine="642" w:firstLineChars="200"/>
        <w:jc w:val="both"/>
        <w:textAlignment w:val="auto"/>
        <w:rPr>
          <w:rFonts w:hint="eastAsia" w:ascii="仿宋_GB2312" w:hAnsi="仿宋_GB2312" w:eastAsia="仿宋_GB2312" w:cs="仿宋_GB2312"/>
          <w:b w:val="0"/>
          <w:bCs w:val="0"/>
          <w:i w:val="0"/>
          <w:caps w:val="0"/>
          <w:color w:val="auto"/>
          <w:spacing w:val="0"/>
          <w:kern w:val="21"/>
          <w:sz w:val="32"/>
          <w:szCs w:val="32"/>
          <w:u w:val="none" w:color="auto"/>
          <w:shd w:val="clear" w:color="auto" w:fill="FFFFFF"/>
          <w:lang w:eastAsia="zh-CN"/>
        </w:rPr>
      </w:pPr>
      <w:r>
        <w:rPr>
          <w:rFonts w:hint="eastAsia" w:ascii="仿宋_GB2312" w:hAnsi="仿宋_GB2312" w:eastAsia="仿宋_GB2312" w:cs="仿宋_GB2312"/>
          <w:b/>
          <w:bCs/>
          <w:color w:val="auto"/>
          <w:spacing w:val="0"/>
          <w:kern w:val="21"/>
          <w:sz w:val="32"/>
          <w:szCs w:val="32"/>
          <w:u w:val="none" w:color="auto"/>
          <w:shd w:val="clear" w:color="auto" w:fill="auto"/>
          <w:lang w:val="en-US" w:eastAsia="zh-CN"/>
        </w:rPr>
        <w:t>财政引导，多方参与。</w:t>
      </w:r>
      <w:r>
        <w:rPr>
          <w:rFonts w:hint="eastAsia" w:ascii="仿宋_GB2312" w:hAnsi="仿宋_GB2312" w:eastAsia="仿宋_GB2312" w:cs="仿宋_GB2312"/>
          <w:b w:val="0"/>
          <w:bCs w:val="0"/>
          <w:i w:val="0"/>
          <w:caps w:val="0"/>
          <w:color w:val="auto"/>
          <w:spacing w:val="0"/>
          <w:kern w:val="21"/>
          <w:sz w:val="32"/>
          <w:szCs w:val="32"/>
          <w:u w:val="none" w:color="auto"/>
          <w:shd w:val="clear" w:color="auto" w:fill="FFFFFF"/>
          <w:lang w:eastAsia="zh-CN"/>
        </w:rPr>
        <w:t>坚持全市一盘棋、协同抓落实，强化市区财政联动和市直部门协同，充分发挥财政资金的引导带动作用，健全市场化多元化资金投入机制，引导和撬动社会资本投向碳达峰碳中和领域，推动各方资源形成合力。</w:t>
      </w:r>
    </w:p>
    <w:p>
      <w:pPr>
        <w:keepNext w:val="0"/>
        <w:keepLines w:val="0"/>
        <w:pageBreakBefore w:val="0"/>
        <w:numPr>
          <w:ilvl w:val="0"/>
          <w:numId w:val="0"/>
        </w:numPr>
        <w:kinsoku/>
        <w:wordWrap/>
        <w:topLinePunct w:val="0"/>
        <w:bidi w:val="0"/>
        <w:adjustRightInd/>
        <w:snapToGrid/>
        <w:spacing w:beforeLines="0" w:afterLines="0" w:line="579" w:lineRule="exact"/>
        <w:ind w:firstLine="640" w:firstLineChars="200"/>
        <w:rPr>
          <w:rFonts w:hint="eastAsia" w:ascii="楷体_GB2312" w:hAnsi="楷体_GB2312" w:eastAsia="楷体_GB2312" w:cs="楷体_GB2312"/>
          <w:color w:val="auto"/>
          <w:sz w:val="32"/>
          <w:szCs w:val="32"/>
          <w:u w:val="none" w:color="auto"/>
          <w:lang w:val="en-US" w:eastAsia="zh-CN"/>
        </w:rPr>
      </w:pPr>
      <w:r>
        <w:rPr>
          <w:rFonts w:hint="eastAsia" w:ascii="楷体_GB2312" w:hAnsi="楷体_GB2312" w:eastAsia="楷体_GB2312" w:cs="楷体_GB2312"/>
          <w:color w:val="auto"/>
          <w:sz w:val="32"/>
          <w:szCs w:val="32"/>
          <w:u w:val="none" w:color="auto"/>
          <w:lang w:val="en-US" w:eastAsia="zh-CN"/>
        </w:rPr>
        <w:t>（三）主要目标</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val="0"/>
        <w:autoSpaceDN w:val="0"/>
        <w:bidi w:val="0"/>
        <w:adjustRightInd/>
        <w:snapToGrid/>
        <w:spacing w:before="0" w:beforeLines="0" w:beforeAutospacing="0" w:after="0" w:afterLines="0" w:afterAutospacing="0" w:line="579" w:lineRule="exact"/>
        <w:ind w:left="0" w:right="0" w:firstLine="640" w:firstLineChars="200"/>
        <w:jc w:val="both"/>
        <w:textAlignment w:val="auto"/>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pacing w:val="0"/>
          <w:kern w:val="21"/>
          <w:sz w:val="32"/>
          <w:szCs w:val="32"/>
          <w:u w:val="none" w:color="auto"/>
          <w:shd w:val="clear" w:color="auto" w:fill="auto"/>
          <w:lang w:eastAsia="zh-CN"/>
        </w:rPr>
        <w:t>到</w:t>
      </w:r>
      <w:r>
        <w:rPr>
          <w:rFonts w:hint="eastAsia" w:ascii="仿宋_GB2312" w:hAnsi="仿宋_GB2312" w:eastAsia="仿宋_GB2312" w:cs="仿宋_GB2312"/>
          <w:color w:val="auto"/>
          <w:spacing w:val="0"/>
          <w:kern w:val="21"/>
          <w:sz w:val="32"/>
          <w:szCs w:val="32"/>
          <w:u w:val="none" w:color="auto"/>
          <w:shd w:val="clear" w:color="auto" w:fill="auto"/>
          <w:lang w:val="en-US" w:eastAsia="zh-CN"/>
        </w:rPr>
        <w:t>2025年，</w:t>
      </w:r>
      <w:r>
        <w:rPr>
          <w:rFonts w:hint="eastAsia" w:ascii="仿宋_GB2312" w:hAnsi="仿宋_GB2312" w:eastAsia="仿宋_GB2312" w:cs="仿宋_GB2312"/>
          <w:b w:val="0"/>
          <w:bCs w:val="0"/>
          <w:color w:val="auto"/>
          <w:sz w:val="32"/>
          <w:szCs w:val="32"/>
          <w:highlight w:val="none"/>
          <w:u w:val="none" w:color="auto"/>
          <w:lang w:val="en-US" w:eastAsia="zh-CN"/>
        </w:rPr>
        <w:t>财政政策工具不断丰富，</w:t>
      </w:r>
      <w:r>
        <w:rPr>
          <w:rFonts w:hint="eastAsia" w:ascii="仿宋_GB2312" w:hAnsi="仿宋_GB2312" w:eastAsia="仿宋_GB2312" w:cs="仿宋_GB2312"/>
          <w:b w:val="0"/>
          <w:bCs w:val="0"/>
          <w:color w:val="auto"/>
          <w:spacing w:val="0"/>
          <w:kern w:val="21"/>
          <w:sz w:val="32"/>
          <w:szCs w:val="32"/>
          <w:u w:val="none" w:color="auto"/>
          <w:shd w:val="clear" w:color="auto" w:fill="auto"/>
          <w:lang w:eastAsia="zh-CN"/>
        </w:rPr>
        <w:t>与深圳先行示范标准要求相适应、有利于绿色低碳发展的财政政策体系与管理体制初步建立，</w:t>
      </w:r>
      <w:r>
        <w:rPr>
          <w:rFonts w:hint="eastAsia" w:ascii="仿宋_GB2312" w:hAnsi="仿宋_GB2312" w:eastAsia="仿宋_GB2312" w:cs="仿宋_GB2312"/>
          <w:b w:val="0"/>
          <w:bCs w:val="0"/>
          <w:color w:val="auto"/>
          <w:sz w:val="32"/>
          <w:szCs w:val="32"/>
          <w:highlight w:val="none"/>
          <w:u w:val="none" w:color="auto"/>
          <w:lang w:val="en-US" w:eastAsia="zh-CN"/>
        </w:rPr>
        <w:t>有力支持全市各行业加快绿色低碳转型。</w:t>
      </w:r>
      <w:r>
        <w:rPr>
          <w:rFonts w:hint="eastAsia" w:ascii="仿宋_GB2312" w:hAnsi="仿宋_GB2312" w:eastAsia="仿宋_GB2312" w:cs="仿宋_GB2312"/>
          <w:color w:val="auto"/>
          <w:sz w:val="32"/>
          <w:szCs w:val="32"/>
          <w:highlight w:val="none"/>
          <w:u w:val="none" w:color="auto"/>
          <w:lang w:val="en-US" w:eastAsia="zh-CN"/>
        </w:rPr>
        <w:t>2030年前，</w:t>
      </w:r>
      <w:r>
        <w:rPr>
          <w:rFonts w:hint="eastAsia" w:ascii="仿宋_GB2312" w:hAnsi="仿宋_GB2312" w:eastAsia="仿宋_GB2312" w:cs="仿宋_GB2312"/>
          <w:b w:val="0"/>
          <w:bCs w:val="0"/>
          <w:color w:val="auto"/>
          <w:spacing w:val="0"/>
          <w:kern w:val="21"/>
          <w:sz w:val="32"/>
          <w:szCs w:val="32"/>
          <w:u w:val="none" w:color="auto"/>
          <w:shd w:val="clear" w:color="auto" w:fill="auto"/>
          <w:lang w:eastAsia="zh-CN"/>
        </w:rPr>
        <w:t>与深圳先行示范标准要求相适应、有利于绿色低碳发展的财政政策体系与管理体制基本形成</w:t>
      </w:r>
      <w:r>
        <w:rPr>
          <w:rFonts w:hint="eastAsia" w:ascii="仿宋_GB2312" w:hAnsi="仿宋_GB2312" w:eastAsia="仿宋_GB2312" w:cs="仿宋_GB2312"/>
          <w:color w:val="auto"/>
          <w:sz w:val="32"/>
          <w:szCs w:val="32"/>
          <w:highlight w:val="none"/>
          <w:u w:val="none" w:color="auto"/>
          <w:lang w:val="en-US" w:eastAsia="zh-CN"/>
        </w:rPr>
        <w:t>，</w:t>
      </w:r>
      <w:r>
        <w:rPr>
          <w:rFonts w:hint="eastAsia" w:ascii="仿宋_GB2312" w:hAnsi="仿宋_GB2312" w:eastAsia="仿宋_GB2312" w:cs="仿宋_GB2312"/>
          <w:color w:val="000000"/>
          <w:sz w:val="32"/>
          <w:szCs w:val="32"/>
          <w:highlight w:val="none"/>
          <w:u w:val="none" w:color="auto"/>
          <w:lang w:eastAsia="zh-CN"/>
        </w:rPr>
        <w:t>超大型城市财政支持协同推进降碳、减污、扩绿、增长的长效机制逐步建立，</w:t>
      </w:r>
      <w:r>
        <w:rPr>
          <w:rFonts w:hint="eastAsia" w:ascii="仿宋_GB2312" w:hAnsi="仿宋_GB2312" w:eastAsia="仿宋_GB2312" w:cs="仿宋_GB2312"/>
          <w:color w:val="auto"/>
          <w:sz w:val="32"/>
          <w:szCs w:val="32"/>
          <w:highlight w:val="none"/>
          <w:u w:val="none" w:color="auto"/>
          <w:lang w:val="en-US" w:eastAsia="zh-CN"/>
        </w:rPr>
        <w:t>推动碳达峰目标顺利实现。2060年前，</w:t>
      </w:r>
      <w:r>
        <w:rPr>
          <w:rFonts w:hint="eastAsia" w:ascii="仿宋_GB2312" w:hAnsi="仿宋_GB2312" w:eastAsia="仿宋_GB2312" w:cs="仿宋_GB2312"/>
          <w:b w:val="0"/>
          <w:bCs w:val="0"/>
          <w:color w:val="auto"/>
          <w:spacing w:val="0"/>
          <w:kern w:val="21"/>
          <w:sz w:val="32"/>
          <w:szCs w:val="32"/>
          <w:u w:val="none" w:color="auto"/>
          <w:shd w:val="clear" w:color="auto" w:fill="auto"/>
          <w:lang w:eastAsia="zh-CN"/>
        </w:rPr>
        <w:t>与深圳先行示范标准要求相适应、有利于绿色低碳发展、达到国际先进水平的财政政策体系与管理体制成熟健全，</w:t>
      </w:r>
      <w:r>
        <w:rPr>
          <w:rFonts w:hint="eastAsia" w:ascii="仿宋_GB2312" w:hAnsi="仿宋_GB2312" w:eastAsia="仿宋_GB2312" w:cs="仿宋_GB2312"/>
          <w:color w:val="auto"/>
          <w:sz w:val="32"/>
          <w:szCs w:val="32"/>
          <w:highlight w:val="none"/>
          <w:u w:val="none" w:color="auto"/>
          <w:lang w:val="en-US" w:eastAsia="zh-CN"/>
        </w:rPr>
        <w:t>推动碳中和目标顺利实现。</w:t>
      </w:r>
    </w:p>
    <w:p>
      <w:pPr>
        <w:keepNext w:val="0"/>
        <w:keepLines w:val="0"/>
        <w:pageBreakBefore w:val="0"/>
        <w:numPr>
          <w:ilvl w:val="0"/>
          <w:numId w:val="0"/>
        </w:numPr>
        <w:kinsoku/>
        <w:wordWrap/>
        <w:topLinePunct w:val="0"/>
        <w:bidi w:val="0"/>
        <w:adjustRightInd/>
        <w:snapToGrid/>
        <w:spacing w:beforeLines="0" w:afterLines="0" w:line="579" w:lineRule="exact"/>
        <w:ind w:firstLine="640" w:firstLineChars="200"/>
        <w:rPr>
          <w:rFonts w:hint="eastAsia" w:ascii="黑体" w:hAnsi="黑体" w:eastAsia="黑体" w:cs="黑体"/>
          <w:i w:val="0"/>
          <w:iCs w:val="0"/>
          <w:caps w:val="0"/>
          <w:color w:val="auto"/>
          <w:spacing w:val="0"/>
          <w:sz w:val="32"/>
          <w:szCs w:val="32"/>
          <w:u w:val="none" w:color="auto"/>
          <w:shd w:val="clear" w:color="auto" w:fill="FFFFFF"/>
          <w:lang w:val="en-US" w:eastAsia="zh-CN"/>
        </w:rPr>
      </w:pPr>
      <w:r>
        <w:rPr>
          <w:rFonts w:hint="eastAsia" w:ascii="黑体" w:hAnsi="黑体" w:eastAsia="黑体" w:cs="黑体"/>
          <w:i w:val="0"/>
          <w:iCs w:val="0"/>
          <w:caps w:val="0"/>
          <w:color w:val="auto"/>
          <w:spacing w:val="0"/>
          <w:sz w:val="32"/>
          <w:szCs w:val="32"/>
          <w:u w:val="none" w:color="auto"/>
          <w:shd w:val="clear" w:color="auto" w:fill="FFFFFF"/>
          <w:lang w:val="en-US" w:eastAsia="zh-CN"/>
        </w:rPr>
        <w:t>二、重点支持方向和领域</w:t>
      </w:r>
    </w:p>
    <w:p>
      <w:pPr>
        <w:pStyle w:val="2"/>
        <w:keepNext w:val="0"/>
        <w:keepLines w:val="0"/>
        <w:pageBreakBefore w:val="0"/>
        <w:kinsoku/>
        <w:wordWrap/>
        <w:topLinePunct w:val="0"/>
        <w:bidi w:val="0"/>
        <w:adjustRightInd/>
        <w:snapToGrid/>
        <w:spacing w:beforeLines="0" w:afterLines="0" w:line="579" w:lineRule="exact"/>
        <w:ind w:firstLine="640" w:firstLineChars="200"/>
        <w:rPr>
          <w:rFonts w:hint="eastAsia" w:ascii="仿宋_GB2312" w:hAnsi="仿宋_GB2312" w:eastAsia="仿宋_GB2312" w:cs="仿宋_GB2312"/>
          <w:i w:val="0"/>
          <w:iCs w:val="0"/>
          <w:caps w:val="0"/>
          <w:color w:val="auto"/>
          <w:spacing w:val="0"/>
          <w:kern w:val="2"/>
          <w:sz w:val="32"/>
          <w:szCs w:val="32"/>
          <w:u w:val="none" w:color="auto"/>
          <w:shd w:val="clear" w:color="auto" w:fill="FFFFFF"/>
          <w:lang w:val="en-US" w:eastAsia="zh-CN" w:bidi="ar-SA"/>
        </w:rPr>
      </w:pPr>
      <w:r>
        <w:rPr>
          <w:rFonts w:hint="eastAsia" w:ascii="楷体_GB2312" w:hAnsi="楷体_GB2312" w:eastAsia="楷体_GB2312" w:cs="楷体_GB2312"/>
          <w:b w:val="0"/>
          <w:bCs w:val="0"/>
          <w:spacing w:val="0"/>
          <w:kern w:val="21"/>
          <w:sz w:val="32"/>
          <w:szCs w:val="32"/>
          <w:u w:val="none" w:color="auto"/>
          <w:lang w:val="en-US" w:eastAsia="zh-CN" w:bidi="ar-SA"/>
        </w:rPr>
        <w:t>（一）支持产业结构优化升级。</w:t>
      </w:r>
      <w:r>
        <w:rPr>
          <w:rFonts w:hint="eastAsia" w:ascii="仿宋_GB2312" w:hAnsi="仿宋_GB2312" w:eastAsia="仿宋_GB2312" w:cs="仿宋_GB2312"/>
          <w:i w:val="0"/>
          <w:iCs w:val="0"/>
          <w:caps w:val="0"/>
          <w:color w:val="auto"/>
          <w:spacing w:val="0"/>
          <w:kern w:val="2"/>
          <w:sz w:val="32"/>
          <w:szCs w:val="32"/>
          <w:u w:val="none" w:color="auto"/>
          <w:shd w:val="clear" w:color="auto" w:fill="FFFFFF"/>
          <w:lang w:val="en-US" w:eastAsia="zh-CN" w:bidi="ar-SA"/>
        </w:rPr>
        <w:t>坚持以推动高质量发展为主题，支持培育发展壮大</w:t>
      </w:r>
      <w:r>
        <w:rPr>
          <w:rFonts w:hint="eastAsia" w:ascii="仿宋_GB2312" w:hAnsi="仿宋_GB2312" w:eastAsia="仿宋_GB2312" w:cs="仿宋_GB2312"/>
          <w:sz w:val="32"/>
          <w:szCs w:val="32"/>
          <w:u w:val="none" w:color="auto"/>
          <w:lang w:eastAsia="zh-CN"/>
        </w:rPr>
        <w:t>先进制造业为主的“</w:t>
      </w:r>
      <w:r>
        <w:rPr>
          <w:rFonts w:hint="eastAsia" w:ascii="仿宋_GB2312" w:hAnsi="仿宋_GB2312" w:eastAsia="仿宋_GB2312" w:cs="仿宋_GB2312"/>
          <w:sz w:val="32"/>
          <w:szCs w:val="32"/>
          <w:u w:val="none" w:color="auto"/>
          <w:lang w:val="en-US" w:eastAsia="zh-CN"/>
        </w:rPr>
        <w:t>20+8</w:t>
      </w:r>
      <w:r>
        <w:rPr>
          <w:rFonts w:hint="eastAsia" w:ascii="仿宋_GB2312" w:hAnsi="仿宋_GB2312" w:eastAsia="仿宋_GB2312" w:cs="仿宋_GB2312"/>
          <w:sz w:val="32"/>
          <w:szCs w:val="32"/>
          <w:u w:val="none" w:color="auto"/>
          <w:lang w:eastAsia="zh-CN"/>
        </w:rPr>
        <w:t>”产业集群行动</w:t>
      </w:r>
      <w:r>
        <w:rPr>
          <w:rFonts w:hint="eastAsia" w:ascii="仿宋_GB2312" w:hAnsi="仿宋_GB2312" w:eastAsia="仿宋_GB2312" w:cs="仿宋_GB2312"/>
          <w:i w:val="0"/>
          <w:iCs w:val="0"/>
          <w:caps w:val="0"/>
          <w:color w:val="auto"/>
          <w:spacing w:val="0"/>
          <w:kern w:val="2"/>
          <w:sz w:val="32"/>
          <w:szCs w:val="32"/>
          <w:u w:val="none" w:color="auto"/>
          <w:shd w:val="clear" w:color="auto" w:fill="FFFFFF"/>
          <w:lang w:val="en-US" w:eastAsia="zh-CN" w:bidi="ar-SA"/>
        </w:rPr>
        <w:t>，</w:t>
      </w:r>
      <w:r>
        <w:rPr>
          <w:rFonts w:hint="eastAsia" w:ascii="仿宋_GB2312" w:hAnsi="Times New Roman" w:eastAsia="仿宋_GB2312" w:cs="Times New Roman"/>
          <w:color w:val="auto"/>
          <w:kern w:val="21"/>
          <w:sz w:val="32"/>
          <w:szCs w:val="32"/>
          <w:highlight w:val="none"/>
          <w:u w:val="none" w:color="auto"/>
          <w:lang w:val="en-US" w:eastAsia="zh-CN"/>
        </w:rPr>
        <w:t>加快传统产业转型升级，构建优质高效的服务业新体系，</w:t>
      </w:r>
      <w:r>
        <w:rPr>
          <w:rFonts w:hint="eastAsia" w:ascii="仿宋_GB2312" w:hAnsi="仿宋_GB2312" w:eastAsia="仿宋_GB2312" w:cs="仿宋_GB2312"/>
          <w:i w:val="0"/>
          <w:iCs w:val="0"/>
          <w:caps w:val="0"/>
          <w:color w:val="auto"/>
          <w:spacing w:val="0"/>
          <w:kern w:val="2"/>
          <w:sz w:val="32"/>
          <w:szCs w:val="32"/>
          <w:u w:val="none" w:color="auto"/>
          <w:shd w:val="clear" w:color="auto" w:fill="FFFFFF"/>
          <w:lang w:val="en-US" w:eastAsia="zh-CN" w:bidi="ar-SA"/>
        </w:rPr>
        <w:t>形成绿色低碳产业结构体系。支持清洁能源、节能环保、新能源汽车、生态环境、绿色基础设施等绿色低碳产业高质量发展</w:t>
      </w:r>
      <w:r>
        <w:rPr>
          <w:rFonts w:hint="eastAsia" w:ascii="仿宋_GB2312" w:hAnsi="Times New Roman" w:eastAsia="仿宋_GB2312" w:cs="Times New Roman"/>
          <w:snapToGrid/>
          <w:color w:val="auto"/>
          <w:spacing w:val="0"/>
          <w:kern w:val="21"/>
          <w:sz w:val="32"/>
          <w:szCs w:val="32"/>
          <w:highlight w:val="none"/>
          <w:u w:val="none" w:color="auto"/>
          <w:lang w:eastAsia="zh-CN"/>
        </w:rPr>
        <w:t>。支持</w:t>
      </w:r>
      <w:r>
        <w:rPr>
          <w:rFonts w:hint="eastAsia" w:ascii="仿宋_GB2312" w:eastAsia="仿宋_GB2312" w:cs="仿宋_GB2312"/>
          <w:color w:val="000000"/>
          <w:sz w:val="31"/>
          <w:szCs w:val="31"/>
          <w:highlight w:val="none"/>
          <w:u w:val="none" w:color="auto"/>
        </w:rPr>
        <w:t>招引一批专精特新</w:t>
      </w:r>
      <w:r>
        <w:rPr>
          <w:rFonts w:hint="eastAsia" w:ascii="仿宋_GB2312" w:eastAsia="仿宋_GB2312" w:cs="仿宋_GB2312"/>
          <w:color w:val="000000"/>
          <w:sz w:val="31"/>
          <w:szCs w:val="31"/>
          <w:highlight w:val="none"/>
          <w:u w:val="none" w:color="auto"/>
          <w:lang w:eastAsia="zh-CN"/>
        </w:rPr>
        <w:t>等优质</w:t>
      </w:r>
      <w:r>
        <w:rPr>
          <w:rFonts w:hint="eastAsia" w:ascii="仿宋_GB2312" w:eastAsia="仿宋_GB2312" w:cs="仿宋_GB2312"/>
          <w:color w:val="000000"/>
          <w:sz w:val="31"/>
          <w:szCs w:val="31"/>
          <w:highlight w:val="none"/>
          <w:u w:val="none" w:color="auto"/>
        </w:rPr>
        <w:t>企业落户深圳，有力促进我市现代产业体系升级换代。</w:t>
      </w:r>
    </w:p>
    <w:p>
      <w:pPr>
        <w:keepNext w:val="0"/>
        <w:keepLines w:val="0"/>
        <w:pageBreakBefore w:val="0"/>
        <w:numPr>
          <w:ilvl w:val="0"/>
          <w:numId w:val="0"/>
        </w:numPr>
        <w:kinsoku/>
        <w:wordWrap/>
        <w:topLinePunct w:val="0"/>
        <w:bidi w:val="0"/>
        <w:adjustRightInd/>
        <w:snapToGrid/>
        <w:spacing w:beforeLines="0" w:afterLines="0" w:line="579" w:lineRule="exact"/>
        <w:ind w:firstLine="640" w:firstLineChars="200"/>
        <w:rPr>
          <w:rFonts w:hint="eastAsia" w:ascii="仿宋_GB2312" w:hAnsi="仿宋_GB2312" w:eastAsia="仿宋_GB2312" w:cs="仿宋_GB2312"/>
          <w:color w:val="auto"/>
          <w:sz w:val="32"/>
          <w:szCs w:val="32"/>
          <w:highlight w:val="none"/>
          <w:u w:val="none" w:color="auto"/>
          <w:lang w:eastAsia="zh-CN"/>
        </w:rPr>
      </w:pPr>
      <w:r>
        <w:rPr>
          <w:rFonts w:hint="eastAsia" w:ascii="楷体_GB2312" w:hAnsi="楷体_GB2312" w:eastAsia="楷体_GB2312" w:cs="楷体_GB2312"/>
          <w:i w:val="0"/>
          <w:iCs w:val="0"/>
          <w:caps w:val="0"/>
          <w:spacing w:val="0"/>
          <w:kern w:val="21"/>
          <w:sz w:val="32"/>
          <w:szCs w:val="32"/>
          <w:u w:val="none" w:color="auto"/>
          <w:shd w:val="clear" w:color="auto" w:fill="auto"/>
          <w:lang w:val="en-US" w:eastAsia="zh-CN" w:bidi="ar-SA"/>
        </w:rPr>
        <w:t>（二）支持重点行业领域绿色低碳转型。</w:t>
      </w:r>
      <w:r>
        <w:rPr>
          <w:rFonts w:hint="eastAsia" w:ascii="仿宋_GB2312" w:hAnsi="仿宋_GB2312" w:eastAsia="仿宋_GB2312" w:cs="仿宋_GB2312"/>
          <w:i w:val="0"/>
          <w:iCs w:val="0"/>
          <w:caps w:val="0"/>
          <w:color w:val="auto"/>
          <w:spacing w:val="0"/>
          <w:sz w:val="32"/>
          <w:szCs w:val="32"/>
          <w:u w:val="none" w:color="auto"/>
          <w:shd w:val="clear" w:color="auto" w:fill="FFFFFF"/>
          <w:lang w:val="en-US" w:eastAsia="zh-CN"/>
        </w:rPr>
        <w:t>支持节能改造和新能源体系建设，推进分布式光伏、生物质能（垃圾焚烧）、海上风力发电等开发建设，推动光伏一体化智能家居与智慧小区建设，加快实施老旧小区、城中村以及餐饮场所天然气“瓶改管”行动。</w:t>
      </w:r>
      <w:r>
        <w:rPr>
          <w:rFonts w:hint="eastAsia" w:ascii="仿宋_GB2312" w:hAnsi="仿宋_GB2312" w:eastAsia="仿宋_GB2312" w:cs="仿宋_GB2312"/>
          <w:i w:val="0"/>
          <w:iCs w:val="0"/>
          <w:caps w:val="0"/>
          <w:color w:val="auto"/>
          <w:spacing w:val="0"/>
          <w:kern w:val="2"/>
          <w:sz w:val="32"/>
          <w:szCs w:val="32"/>
          <w:u w:val="none" w:color="auto"/>
          <w:shd w:val="clear" w:color="auto" w:fill="FFFFFF"/>
          <w:lang w:val="en-US" w:eastAsia="zh-CN" w:bidi="ar-SA"/>
        </w:rPr>
        <w:t>支持工业领域发展先进制造、智能制造、绿色制造、服务型制造，构建完善绿色制造体系。支持优化交通运输结构，推进新能源交通工具推广使用，加快绿色交通基础设施布局建设。支持</w:t>
      </w:r>
      <w:r>
        <w:rPr>
          <w:rFonts w:hint="eastAsia" w:ascii="仿宋_GB2312" w:hAnsi="仿宋_GB2312" w:eastAsia="仿宋_GB2312" w:cs="仿宋_GB2312"/>
          <w:b w:val="0"/>
          <w:bCs w:val="0"/>
          <w:color w:val="auto"/>
          <w:sz w:val="32"/>
          <w:szCs w:val="32"/>
          <w:highlight w:val="none"/>
          <w:u w:val="none" w:color="auto"/>
          <w:lang w:eastAsia="zh-CN"/>
        </w:rPr>
        <w:t>建筑领域使用绿色建材、采用节能技术、建设更低能耗建筑，大力发展高星级绿色建筑</w:t>
      </w:r>
      <w:r>
        <w:rPr>
          <w:rFonts w:hint="eastAsia" w:ascii="仿宋_GB2312" w:hAnsi="仿宋_GB2312" w:eastAsia="仿宋_GB2312" w:cs="仿宋_GB2312"/>
          <w:color w:val="auto"/>
          <w:sz w:val="32"/>
          <w:szCs w:val="32"/>
          <w:highlight w:val="none"/>
          <w:u w:val="none" w:color="auto"/>
          <w:lang w:eastAsia="zh-CN"/>
        </w:rPr>
        <w:t>。</w:t>
      </w:r>
    </w:p>
    <w:p>
      <w:pPr>
        <w:numPr>
          <w:ilvl w:val="0"/>
          <w:numId w:val="0"/>
        </w:numPr>
        <w:spacing w:beforeLines="0" w:afterLines="0" w:line="579" w:lineRule="exact"/>
        <w:ind w:firstLine="640" w:firstLineChars="200"/>
        <w:rPr>
          <w:rFonts w:hint="eastAsia" w:ascii="仿宋_GB2312" w:eastAsia="仿宋_GB2312" w:cs="仿宋_GB2312"/>
          <w:color w:val="000000"/>
          <w:sz w:val="31"/>
          <w:szCs w:val="31"/>
          <w:highlight w:val="none"/>
          <w:u w:val="none" w:color="auto"/>
          <w:lang w:val="en-US" w:eastAsia="zh-CN"/>
        </w:rPr>
      </w:pPr>
      <w:r>
        <w:rPr>
          <w:rFonts w:hint="eastAsia" w:ascii="楷体_GB2312" w:hAnsi="楷体_GB2312" w:eastAsia="楷体_GB2312" w:cs="楷体_GB2312"/>
          <w:i w:val="0"/>
          <w:iCs w:val="0"/>
          <w:caps w:val="0"/>
          <w:color w:val="auto"/>
          <w:spacing w:val="0"/>
          <w:sz w:val="32"/>
          <w:szCs w:val="32"/>
          <w:u w:val="none" w:color="auto"/>
          <w:shd w:val="clear" w:color="auto" w:fill="FFFFFF"/>
          <w:lang w:val="en-US" w:eastAsia="zh-CN"/>
        </w:rPr>
        <w:t>（三）支持低碳科技创新研发和基础能力建设。</w:t>
      </w:r>
      <w:r>
        <w:rPr>
          <w:rFonts w:hint="eastAsia" w:ascii="仿宋_GB2312" w:hAnsi="仿宋_GB2312" w:eastAsia="仿宋_GB2312" w:cs="仿宋_GB2312"/>
          <w:i w:val="0"/>
          <w:iCs w:val="0"/>
          <w:caps w:val="0"/>
          <w:color w:val="auto"/>
          <w:spacing w:val="0"/>
          <w:sz w:val="32"/>
          <w:szCs w:val="32"/>
          <w:u w:val="none" w:color="auto"/>
          <w:shd w:val="clear" w:color="auto" w:fill="FFFFFF"/>
          <w:lang w:val="en-US" w:eastAsia="zh-CN"/>
        </w:rPr>
        <w:t>加大</w:t>
      </w:r>
      <w:r>
        <w:rPr>
          <w:rFonts w:hint="eastAsia" w:ascii="仿宋_GB2312" w:hAnsi="仿宋_GB2312" w:eastAsia="仿宋_GB2312" w:cs="仿宋_GB2312"/>
          <w:color w:val="auto"/>
          <w:sz w:val="32"/>
          <w:szCs w:val="32"/>
          <w:highlight w:val="none"/>
          <w:u w:val="none" w:color="auto"/>
          <w:lang w:eastAsia="zh-CN"/>
        </w:rPr>
        <w:t>可持续发展科技</w:t>
      </w:r>
      <w:r>
        <w:rPr>
          <w:rFonts w:hint="eastAsia" w:ascii="仿宋_GB2312" w:hAnsi="仿宋_GB2312" w:eastAsia="仿宋_GB2312" w:cs="仿宋_GB2312"/>
          <w:color w:val="auto"/>
          <w:sz w:val="32"/>
          <w:szCs w:val="32"/>
          <w:highlight w:val="none"/>
          <w:u w:val="none" w:color="auto"/>
        </w:rPr>
        <w:t>专项</w:t>
      </w:r>
      <w:r>
        <w:rPr>
          <w:rFonts w:hint="eastAsia" w:ascii="仿宋_GB2312" w:hAnsi="仿宋_GB2312" w:eastAsia="仿宋_GB2312" w:cs="仿宋_GB2312"/>
          <w:color w:val="auto"/>
          <w:sz w:val="32"/>
          <w:szCs w:val="32"/>
          <w:highlight w:val="none"/>
          <w:u w:val="none" w:color="auto"/>
          <w:lang w:eastAsia="zh-CN"/>
        </w:rPr>
        <w:t>支持力度</w:t>
      </w:r>
      <w:r>
        <w:rPr>
          <w:rFonts w:hint="eastAsia" w:ascii="仿宋_GB2312" w:hAnsi="仿宋_GB2312" w:eastAsia="仿宋_GB2312" w:cs="仿宋_GB2312"/>
          <w:i w:val="0"/>
          <w:iCs w:val="0"/>
          <w:caps w:val="0"/>
          <w:color w:val="auto"/>
          <w:spacing w:val="0"/>
          <w:sz w:val="32"/>
          <w:szCs w:val="32"/>
          <w:u w:val="none" w:color="auto"/>
          <w:shd w:val="clear" w:color="auto" w:fill="FFFFFF"/>
          <w:lang w:val="en-US" w:eastAsia="zh-CN"/>
        </w:rPr>
        <w:t>，支持打造绿色创新平台，汇聚绿色创新人才。支持加大清洁高效化石能源、可再生能源、储能、智能电网、冷能利用等重点能源技术攻关力度，以及零碳建筑及建筑工业化技术、AI—区块链与物联网智能技术和碳捕获、利用与封存（CCUS）技术关键领域攻关研究。强化碳达峰碳中和基础理论、基础方法、技术标准、实现路径研究。支持适应气候变化能力建设，加快建成海绵城市，提高气候等灾难应急处置能力。</w:t>
      </w:r>
    </w:p>
    <w:p>
      <w:pPr>
        <w:keepNext w:val="0"/>
        <w:keepLines w:val="0"/>
        <w:pageBreakBefore w:val="0"/>
        <w:numPr>
          <w:ilvl w:val="0"/>
          <w:numId w:val="0"/>
        </w:numPr>
        <w:kinsoku/>
        <w:wordWrap/>
        <w:topLinePunct w:val="0"/>
        <w:bidi w:val="0"/>
        <w:adjustRightInd/>
        <w:snapToGrid/>
        <w:spacing w:beforeLines="0" w:afterLines="0" w:line="579" w:lineRule="exact"/>
        <w:ind w:firstLine="640" w:firstLineChars="200"/>
        <w:rPr>
          <w:rFonts w:hint="eastAsia" w:ascii="仿宋_GB2312" w:hAnsi="仿宋_GB2312" w:eastAsia="仿宋_GB2312" w:cs="仿宋_GB2312"/>
          <w:i w:val="0"/>
          <w:iCs w:val="0"/>
          <w:caps w:val="0"/>
          <w:color w:val="auto"/>
          <w:spacing w:val="0"/>
          <w:sz w:val="32"/>
          <w:szCs w:val="32"/>
          <w:u w:val="none" w:color="auto"/>
          <w:shd w:val="clear" w:color="auto" w:fill="FFFFFF"/>
          <w:lang w:val="en-US" w:eastAsia="zh-CN"/>
        </w:rPr>
      </w:pPr>
      <w:r>
        <w:rPr>
          <w:rFonts w:hint="eastAsia" w:ascii="楷体_GB2312" w:hAnsi="楷体_GB2312" w:eastAsia="楷体_GB2312" w:cs="楷体_GB2312"/>
          <w:i w:val="0"/>
          <w:iCs w:val="0"/>
          <w:caps w:val="0"/>
          <w:color w:val="auto"/>
          <w:spacing w:val="0"/>
          <w:sz w:val="32"/>
          <w:szCs w:val="32"/>
          <w:u w:val="none" w:color="auto"/>
          <w:shd w:val="clear" w:color="auto" w:fill="FFFFFF"/>
          <w:lang w:val="en-US" w:eastAsia="zh-CN"/>
        </w:rPr>
        <w:t>（四）支持碳管理和监测能力建设</w:t>
      </w:r>
      <w:r>
        <w:rPr>
          <w:rFonts w:hint="eastAsia" w:ascii="楷体_GB2312" w:hAnsi="楷体_GB2312" w:eastAsia="楷体_GB2312" w:cs="楷体_GB2312"/>
          <w:i w:val="0"/>
          <w:iCs w:val="0"/>
          <w:caps w:val="0"/>
          <w:color w:val="auto"/>
          <w:spacing w:val="0"/>
          <w:sz w:val="32"/>
          <w:szCs w:val="32"/>
          <w:u w:val="none" w:color="auto"/>
          <w:shd w:val="clear" w:color="auto" w:fill="FFFFFF"/>
          <w:lang w:val="en-US" w:eastAsia="zh-CN"/>
        </w:rPr>
        <w:tab/>
      </w:r>
      <w:r>
        <w:rPr>
          <w:rFonts w:hint="eastAsia" w:ascii="楷体_GB2312" w:hAnsi="楷体_GB2312" w:eastAsia="楷体_GB2312" w:cs="楷体_GB2312"/>
          <w:i w:val="0"/>
          <w:iCs w:val="0"/>
          <w:caps w:val="0"/>
          <w:color w:val="auto"/>
          <w:spacing w:val="0"/>
          <w:sz w:val="32"/>
          <w:szCs w:val="32"/>
          <w:u w:val="none" w:color="auto"/>
          <w:shd w:val="clear" w:color="auto" w:fill="FFFFFF"/>
          <w:lang w:val="en-US" w:eastAsia="zh-CN"/>
        </w:rPr>
        <w:t>。</w:t>
      </w:r>
      <w:r>
        <w:rPr>
          <w:rFonts w:hint="eastAsia" w:ascii="仿宋_GB2312" w:hAnsi="仿宋_GB2312" w:eastAsia="仿宋_GB2312" w:cs="仿宋_GB2312"/>
          <w:i w:val="0"/>
          <w:iCs w:val="0"/>
          <w:caps w:val="0"/>
          <w:color w:val="auto"/>
          <w:spacing w:val="0"/>
          <w:sz w:val="32"/>
          <w:szCs w:val="32"/>
          <w:u w:val="none" w:color="auto"/>
          <w:shd w:val="clear" w:color="auto" w:fill="FFFFFF"/>
          <w:lang w:val="en-US" w:eastAsia="zh-CN"/>
        </w:rPr>
        <w:t>支持碳排放统计核算统计方法学和监管体系建设，推动开展碳监测评估试点、碳排放统计核算与分析。不断优化升级碳达峰碳中和排放因子、数据库集、核算方法和监测路径等相关技术手段和智慧平台。建立深圳市第三方碳咨询机构服务规范指引，支持鼓励第三方机构依法开展专业化业务活动。努力推动建成一批具有国内和国际影响力的可持续发展咨询领域内的权威第三方机构。</w:t>
      </w:r>
    </w:p>
    <w:p>
      <w:pPr>
        <w:keepNext w:val="0"/>
        <w:keepLines w:val="0"/>
        <w:pageBreakBefore w:val="0"/>
        <w:numPr>
          <w:ilvl w:val="0"/>
          <w:numId w:val="0"/>
        </w:numPr>
        <w:kinsoku/>
        <w:wordWrap/>
        <w:topLinePunct w:val="0"/>
        <w:bidi w:val="0"/>
        <w:adjustRightInd/>
        <w:snapToGrid/>
        <w:spacing w:beforeLines="0" w:afterLines="0" w:line="579" w:lineRule="exact"/>
        <w:ind w:firstLine="640" w:firstLineChars="200"/>
        <w:rPr>
          <w:rFonts w:hint="eastAsia" w:ascii="仿宋_GB2312" w:hAnsi="仿宋_GB2312" w:eastAsia="仿宋_GB2312" w:cs="仿宋_GB2312"/>
          <w:i w:val="0"/>
          <w:iCs w:val="0"/>
          <w:caps w:val="0"/>
          <w:color w:val="auto"/>
          <w:spacing w:val="0"/>
          <w:sz w:val="32"/>
          <w:szCs w:val="32"/>
          <w:u w:val="none" w:color="auto"/>
          <w:shd w:val="clear" w:color="auto" w:fill="FFFFFF"/>
          <w:lang w:val="en-US" w:eastAsia="zh-CN"/>
        </w:rPr>
      </w:pPr>
      <w:r>
        <w:rPr>
          <w:rFonts w:hint="eastAsia" w:ascii="楷体_GB2312" w:hAnsi="楷体_GB2312" w:eastAsia="楷体_GB2312" w:cs="楷体_GB2312"/>
          <w:i w:val="0"/>
          <w:iCs w:val="0"/>
          <w:caps w:val="0"/>
          <w:color w:val="auto"/>
          <w:spacing w:val="0"/>
          <w:sz w:val="32"/>
          <w:szCs w:val="32"/>
          <w:u w:val="none" w:color="auto"/>
          <w:shd w:val="clear" w:color="auto" w:fill="FFFFFF"/>
          <w:lang w:val="en-US" w:eastAsia="zh-CN"/>
        </w:rPr>
        <w:t>（五）支持碳排放交易市场扩容和开发。</w:t>
      </w:r>
      <w:r>
        <w:rPr>
          <w:rFonts w:hint="eastAsia" w:ascii="仿宋_GB2312" w:hAnsi="仿宋_GB2312" w:eastAsia="仿宋_GB2312" w:cs="仿宋_GB2312"/>
          <w:i w:val="0"/>
          <w:iCs w:val="0"/>
          <w:caps w:val="0"/>
          <w:color w:val="auto"/>
          <w:spacing w:val="0"/>
          <w:sz w:val="32"/>
          <w:szCs w:val="32"/>
          <w:u w:val="none" w:color="auto"/>
          <w:shd w:val="clear" w:color="auto" w:fill="FFFFFF"/>
          <w:lang w:val="en-US" w:eastAsia="zh-CN"/>
        </w:rPr>
        <w:t>支持逐步扩大交易行业范围，丰富交易品种和交易方式，开展碳排放配额有偿分配，健全企业、金融机构等碳排放报告和信息披露制度。探索适用性强的碳金融产品，激发碳市场交易活力；建立深圳市国家核证自愿减排量（CCER）开发项目库，打破地域限制，多种方式参与到项目开发主体当中去，拓展国家核证自愿减排量（CCER）开发储备，不断开发国家核证自愿减排量（CCER）新型方法学。支持探索开展挥发性有机物（VOCs）排污权市场化交易。</w:t>
      </w:r>
    </w:p>
    <w:p>
      <w:pPr>
        <w:pStyle w:val="5"/>
        <w:widowControl/>
        <w:spacing w:beforeLines="0" w:afterLines="0" w:line="579" w:lineRule="exact"/>
        <w:ind w:firstLine="640" w:firstLineChars="200"/>
        <w:jc w:val="both"/>
        <w:rPr>
          <w:rFonts w:hint="eastAsia"/>
          <w:u w:val="none" w:color="auto"/>
          <w:lang w:val="en-US" w:eastAsia="zh-CN"/>
        </w:rPr>
      </w:pPr>
      <w:r>
        <w:rPr>
          <w:rFonts w:hint="eastAsia" w:ascii="楷体_GB2312" w:hAnsi="楷体_GB2312" w:eastAsia="楷体_GB2312" w:cs="楷体_GB2312"/>
          <w:i w:val="0"/>
          <w:iCs w:val="0"/>
          <w:caps w:val="0"/>
          <w:color w:val="auto"/>
          <w:spacing w:val="0"/>
          <w:kern w:val="2"/>
          <w:sz w:val="32"/>
          <w:szCs w:val="32"/>
          <w:u w:val="none" w:color="auto"/>
          <w:shd w:val="clear" w:color="auto" w:fill="FFFFFF"/>
          <w:lang w:val="en-US" w:eastAsia="zh-CN" w:bidi="ar-SA"/>
        </w:rPr>
        <w:t>（六）支持碳汇能力巩固提升。</w:t>
      </w:r>
      <w:r>
        <w:rPr>
          <w:rFonts w:hint="eastAsia" w:ascii="仿宋_GB2312" w:hAnsi="仿宋_GB2312" w:eastAsia="仿宋_GB2312" w:cs="仿宋_GB2312"/>
          <w:b w:val="0"/>
          <w:bCs w:val="0"/>
          <w:i w:val="0"/>
          <w:iCs w:val="0"/>
          <w:caps w:val="0"/>
          <w:color w:val="auto"/>
          <w:spacing w:val="0"/>
          <w:sz w:val="32"/>
          <w:szCs w:val="32"/>
          <w:u w:val="none" w:color="auto"/>
          <w:shd w:val="clear" w:color="auto" w:fill="FFFFFF"/>
          <w:lang w:val="en-US" w:eastAsia="zh-CN"/>
        </w:rPr>
        <w:t>支持优化国土空间开发保护格局，严守生态保护红线，严控生态空间占用。</w:t>
      </w:r>
      <w:r>
        <w:rPr>
          <w:rFonts w:hint="eastAsia" w:ascii="仿宋_GB2312" w:eastAsia="仿宋_GB2312" w:cs="仿宋_GB2312"/>
          <w:color w:val="auto"/>
          <w:kern w:val="21"/>
          <w:sz w:val="32"/>
          <w:szCs w:val="32"/>
          <w:highlight w:val="none"/>
          <w:u w:val="none" w:color="auto"/>
          <w:lang w:eastAsia="zh-CN" w:bidi="ar-SA"/>
        </w:rPr>
        <w:t>支持深圳建立“国际红树林中心”，加强</w:t>
      </w:r>
      <w:r>
        <w:rPr>
          <w:rFonts w:hint="eastAsia" w:ascii="仿宋_GB2312" w:hAnsi="仿宋_GB2312" w:eastAsia="仿宋_GB2312" w:cs="仿宋_GB2312"/>
          <w:i w:val="0"/>
          <w:iCs w:val="0"/>
          <w:caps w:val="0"/>
          <w:color w:val="auto"/>
          <w:spacing w:val="0"/>
          <w:sz w:val="32"/>
          <w:szCs w:val="32"/>
          <w:u w:val="none" w:color="auto"/>
          <w:shd w:val="clear" w:color="auto" w:fill="FFFFFF"/>
          <w:lang w:val="en-US" w:eastAsia="zh-CN"/>
        </w:rPr>
        <w:t>城市红树林保护修复，</w:t>
      </w:r>
      <w:r>
        <w:rPr>
          <w:rFonts w:hint="eastAsia" w:ascii="仿宋_GB2312" w:eastAsia="仿宋_GB2312" w:cs="仿宋_GB2312"/>
          <w:color w:val="auto"/>
          <w:kern w:val="21"/>
          <w:sz w:val="32"/>
          <w:szCs w:val="32"/>
          <w:highlight w:val="none"/>
          <w:u w:val="none" w:color="auto"/>
          <w:lang w:eastAsia="zh-CN" w:bidi="ar-SA"/>
        </w:rPr>
        <w:t>提升湿地保护治理水平。</w:t>
      </w:r>
      <w:r>
        <w:rPr>
          <w:rFonts w:hint="eastAsia" w:ascii="仿宋_GB2312" w:hAnsi="仿宋_GB2312" w:eastAsia="仿宋_GB2312" w:cs="仿宋_GB2312"/>
          <w:i w:val="0"/>
          <w:iCs w:val="0"/>
          <w:caps w:val="0"/>
          <w:color w:val="auto"/>
          <w:spacing w:val="0"/>
          <w:sz w:val="32"/>
          <w:szCs w:val="32"/>
          <w:u w:val="none" w:color="auto"/>
          <w:shd w:val="clear" w:color="auto" w:fill="FFFFFF"/>
          <w:lang w:val="en-US" w:eastAsia="zh-CN"/>
        </w:rPr>
        <w:t>支持实施深圳湾生态升级行动、海岸带保护修复工程，积极开发海洋碳汇。支持实施生物多样性保护重大工程项目，</w:t>
      </w:r>
      <w:r>
        <w:rPr>
          <w:rFonts w:ascii="仿宋_GB2312" w:hAnsi="仿宋_GB2312" w:eastAsia="仿宋_GB2312" w:cs="仿宋_GB2312"/>
          <w:color w:val="000000"/>
          <w:sz w:val="32"/>
          <w:szCs w:val="32"/>
          <w:u w:val="none" w:color="auto"/>
        </w:rPr>
        <w:t>推进生物多样性友好城市建设</w:t>
      </w:r>
      <w:r>
        <w:rPr>
          <w:rFonts w:hint="eastAsia" w:ascii="仿宋_GB2312" w:hAnsi="仿宋_GB2312" w:eastAsia="仿宋_GB2312" w:cs="仿宋_GB2312"/>
          <w:i w:val="0"/>
          <w:iCs w:val="0"/>
          <w:caps w:val="0"/>
          <w:color w:val="auto"/>
          <w:spacing w:val="0"/>
          <w:sz w:val="32"/>
          <w:szCs w:val="32"/>
          <w:u w:val="none" w:color="auto"/>
          <w:shd w:val="clear" w:color="auto" w:fill="FFFFFF"/>
          <w:lang w:val="en-US" w:eastAsia="zh-CN"/>
        </w:rPr>
        <w:t>。深入推进科学绿化行动，因地制宜确定绿化方式，节俭务实推进国土绿化。支持开发生态系统碳汇核算方法学体系。</w:t>
      </w:r>
    </w:p>
    <w:p>
      <w:pPr>
        <w:keepNext w:val="0"/>
        <w:keepLines w:val="0"/>
        <w:pageBreakBefore w:val="0"/>
        <w:widowControl/>
        <w:numPr>
          <w:ilvl w:val="0"/>
          <w:numId w:val="0"/>
        </w:numPr>
        <w:kinsoku/>
        <w:wordWrap/>
        <w:topLinePunct w:val="0"/>
        <w:bidi w:val="0"/>
        <w:adjustRightInd/>
        <w:snapToGrid/>
        <w:spacing w:beforeLines="0" w:afterLines="0" w:line="579" w:lineRule="exact"/>
        <w:ind w:firstLine="640" w:firstLineChars="200"/>
        <w:jc w:val="both"/>
        <w:rPr>
          <w:rFonts w:hint="eastAsia" w:ascii="仿宋_GB2312" w:hAnsi="仿宋_GB2312" w:eastAsia="仿宋_GB2312" w:cs="仿宋_GB2312"/>
          <w:i w:val="0"/>
          <w:iCs w:val="0"/>
          <w:caps w:val="0"/>
          <w:color w:val="auto"/>
          <w:spacing w:val="0"/>
          <w:sz w:val="32"/>
          <w:szCs w:val="32"/>
          <w:u w:val="none" w:color="auto"/>
          <w:shd w:val="clear" w:color="auto" w:fill="FFFFFF"/>
          <w:lang w:val="en-US" w:eastAsia="zh-CN"/>
        </w:rPr>
      </w:pPr>
      <w:r>
        <w:rPr>
          <w:rFonts w:hint="eastAsia" w:ascii="楷体_GB2312" w:hAnsi="楷体_GB2312" w:eastAsia="楷体_GB2312" w:cs="楷体_GB2312"/>
          <w:i w:val="0"/>
          <w:iCs w:val="0"/>
          <w:caps w:val="0"/>
          <w:color w:val="auto"/>
          <w:spacing w:val="0"/>
          <w:sz w:val="32"/>
          <w:szCs w:val="32"/>
          <w:u w:val="none" w:color="auto"/>
          <w:shd w:val="clear" w:color="auto" w:fill="FFFFFF"/>
          <w:lang w:val="en-US" w:eastAsia="zh-CN"/>
        </w:rPr>
        <w:t>（七）支持全民碳达峰碳中和行动。</w:t>
      </w:r>
      <w:r>
        <w:rPr>
          <w:rFonts w:hint="eastAsia" w:ascii="仿宋_GB2312" w:hAnsi="仿宋_GB2312" w:eastAsia="仿宋_GB2312" w:cs="仿宋_GB2312"/>
          <w:i w:val="0"/>
          <w:iCs w:val="0"/>
          <w:caps w:val="0"/>
          <w:color w:val="auto"/>
          <w:spacing w:val="0"/>
          <w:sz w:val="32"/>
          <w:szCs w:val="32"/>
          <w:u w:val="none" w:color="auto"/>
          <w:shd w:val="clear" w:color="auto" w:fill="FFFFFF"/>
          <w:lang w:val="en-US" w:eastAsia="zh-CN"/>
        </w:rPr>
        <w:t>开展碳普惠体系建设，鼓励碳普惠方法学开发建设，建立节约低碳回馈机制。鼓励非营利组织开展生态文明建设业务，支持碳达峰碳中和等专业领域非营利机构发展。</w:t>
      </w:r>
      <w:r>
        <w:rPr>
          <w:rFonts w:hint="eastAsia" w:ascii="Times New Roman" w:hAnsi="Times New Roman" w:eastAsia="仿宋_GB2312"/>
          <w:sz w:val="32"/>
          <w:szCs w:val="32"/>
          <w:u w:val="none" w:color="auto"/>
          <w:lang w:eastAsia="zh-CN"/>
        </w:rPr>
        <w:t>支持深化“无废城市”建设，推进实施山海连城行动，</w:t>
      </w:r>
      <w:r>
        <w:rPr>
          <w:rFonts w:ascii="Times New Roman" w:hAnsi="Times New Roman" w:eastAsia="仿宋_GB2312"/>
          <w:sz w:val="32"/>
          <w:szCs w:val="32"/>
          <w:u w:val="none" w:color="auto"/>
        </w:rPr>
        <w:t>积极倡导绿色出行、绿色消费、绿色外卖、光盘行动、绿色办公</w:t>
      </w:r>
      <w:r>
        <w:rPr>
          <w:rFonts w:hint="eastAsia" w:ascii="Times New Roman" w:hAnsi="Times New Roman" w:eastAsia="仿宋_GB2312"/>
          <w:sz w:val="32"/>
          <w:szCs w:val="32"/>
          <w:u w:val="none" w:color="auto"/>
          <w:lang w:eastAsia="zh-CN"/>
        </w:rPr>
        <w:t>，鼓励源头减量、</w:t>
      </w:r>
      <w:r>
        <w:rPr>
          <w:rFonts w:ascii="Times New Roman" w:hAnsi="Times New Roman" w:eastAsia="仿宋_GB2312"/>
          <w:sz w:val="32"/>
          <w:szCs w:val="32"/>
          <w:u w:val="none" w:color="auto"/>
        </w:rPr>
        <w:t>垃圾分类等</w:t>
      </w:r>
      <w:r>
        <w:rPr>
          <w:rFonts w:hint="eastAsia" w:ascii="Times New Roman" w:hAnsi="Times New Roman" w:eastAsia="仿宋_GB2312"/>
          <w:sz w:val="32"/>
          <w:szCs w:val="32"/>
          <w:u w:val="none" w:color="auto"/>
          <w:lang w:eastAsia="zh-CN"/>
        </w:rPr>
        <w:t>，形成</w:t>
      </w:r>
      <w:r>
        <w:rPr>
          <w:rFonts w:ascii="Times New Roman" w:hAnsi="Times New Roman" w:eastAsia="仿宋_GB2312"/>
          <w:sz w:val="32"/>
          <w:szCs w:val="32"/>
          <w:u w:val="none" w:color="auto"/>
        </w:rPr>
        <w:t>绿色生活方式。</w:t>
      </w:r>
      <w:r>
        <w:rPr>
          <w:rFonts w:hint="eastAsia" w:ascii="仿宋_GB2312" w:hAnsi="仿宋_GB2312" w:eastAsia="仿宋_GB2312" w:cs="仿宋_GB2312"/>
          <w:i w:val="0"/>
          <w:iCs w:val="0"/>
          <w:caps w:val="0"/>
          <w:color w:val="auto"/>
          <w:spacing w:val="0"/>
          <w:sz w:val="32"/>
          <w:szCs w:val="32"/>
          <w:u w:val="none" w:color="auto"/>
          <w:shd w:val="clear" w:color="auto" w:fill="FFFFFF"/>
          <w:lang w:val="en-US" w:eastAsia="zh-CN"/>
        </w:rPr>
        <w:t>支持开展近零碳排放区域示范项目建设，鼓励开展碳中和产业园区、社区、校园等建设。支持推广集体活动碳中和创建。</w:t>
      </w:r>
      <w:r>
        <w:rPr>
          <w:rFonts w:hint="default" w:ascii="Times New Roman" w:hAnsi="Times New Roman" w:eastAsia="仿宋_GB2312" w:cs="Times New Roman"/>
          <w:i w:val="0"/>
          <w:iCs w:val="0"/>
          <w:caps w:val="0"/>
          <w:spacing w:val="0"/>
          <w:sz w:val="32"/>
          <w:szCs w:val="32"/>
          <w:u w:val="none" w:color="auto"/>
          <w:shd w:val="clear" w:color="auto" w:fill="auto"/>
          <w:lang w:val="en-US" w:eastAsia="zh-CN"/>
        </w:rPr>
        <w:t>支持</w:t>
      </w:r>
      <w:r>
        <w:rPr>
          <w:rFonts w:ascii="Times New Roman" w:hAnsi="Times New Roman" w:eastAsia="仿宋_GB2312" w:cs="Times New Roman"/>
          <w:i w:val="0"/>
          <w:caps w:val="0"/>
          <w:spacing w:val="0"/>
          <w:kern w:val="2"/>
          <w:sz w:val="32"/>
          <w:szCs w:val="32"/>
          <w:u w:val="none" w:color="auto"/>
          <w:shd w:val="clear" w:color="auto" w:fill="auto"/>
          <w:lang w:val="en-US" w:eastAsia="zh-CN" w:bidi="ar"/>
        </w:rPr>
        <w:t>在国际会展之都、国际消费中心城市建设中落实绿色低碳发展</w:t>
      </w:r>
      <w:r>
        <w:rPr>
          <w:rFonts w:hint="eastAsia" w:ascii="Times New Roman" w:hAnsi="Times New Roman" w:eastAsia="仿宋_GB2312" w:cs="Times New Roman"/>
          <w:i w:val="0"/>
          <w:caps w:val="0"/>
          <w:spacing w:val="0"/>
          <w:kern w:val="2"/>
          <w:sz w:val="32"/>
          <w:szCs w:val="32"/>
          <w:u w:val="none" w:color="auto"/>
          <w:shd w:val="clear" w:color="auto" w:fill="auto"/>
          <w:lang w:val="en-US" w:eastAsia="zh-CN" w:bidi="ar"/>
        </w:rPr>
        <w:t>要求。</w:t>
      </w:r>
    </w:p>
    <w:p>
      <w:pPr>
        <w:keepNext w:val="0"/>
        <w:keepLines w:val="0"/>
        <w:pageBreakBefore w:val="0"/>
        <w:numPr>
          <w:ilvl w:val="0"/>
          <w:numId w:val="0"/>
        </w:numPr>
        <w:kinsoku/>
        <w:wordWrap/>
        <w:topLinePunct w:val="0"/>
        <w:bidi w:val="0"/>
        <w:adjustRightInd/>
        <w:snapToGrid/>
        <w:spacing w:beforeLines="0" w:afterLines="0" w:line="579" w:lineRule="exact"/>
        <w:ind w:firstLine="640" w:firstLineChars="200"/>
        <w:rPr>
          <w:rFonts w:hint="eastAsia" w:ascii="黑体" w:hAnsi="黑体" w:eastAsia="黑体" w:cs="黑体"/>
          <w:i w:val="0"/>
          <w:iCs w:val="0"/>
          <w:caps w:val="0"/>
          <w:color w:val="auto"/>
          <w:spacing w:val="0"/>
          <w:sz w:val="32"/>
          <w:szCs w:val="32"/>
          <w:u w:val="none" w:color="auto"/>
          <w:shd w:val="clear" w:color="auto" w:fill="FFFFFF"/>
          <w:lang w:val="en-US" w:eastAsia="zh-CN"/>
        </w:rPr>
      </w:pPr>
      <w:r>
        <w:rPr>
          <w:rFonts w:hint="eastAsia" w:ascii="黑体" w:hAnsi="黑体" w:eastAsia="黑体" w:cs="黑体"/>
          <w:i w:val="0"/>
          <w:iCs w:val="0"/>
          <w:caps w:val="0"/>
          <w:color w:val="auto"/>
          <w:spacing w:val="0"/>
          <w:sz w:val="32"/>
          <w:szCs w:val="32"/>
          <w:u w:val="none" w:color="auto"/>
          <w:shd w:val="clear" w:color="auto" w:fill="FFFFFF"/>
          <w:lang w:val="en-US" w:eastAsia="zh-CN"/>
        </w:rPr>
        <w:t>三、财政政策措施</w:t>
      </w:r>
    </w:p>
    <w:p>
      <w:pPr>
        <w:pStyle w:val="6"/>
        <w:pBdr>
          <w:top w:val="none" w:color="auto" w:sz="0" w:space="0"/>
          <w:left w:val="none" w:color="auto" w:sz="0" w:space="0"/>
          <w:bottom w:val="none" w:color="auto" w:sz="0" w:space="0"/>
          <w:right w:val="none" w:color="auto" w:sz="0" w:space="0"/>
        </w:pBdr>
        <w:shd w:val="clear" w:color="auto" w:fill="FFFFFF"/>
        <w:overflowPunct w:val="0"/>
        <w:autoSpaceDE w:val="0"/>
        <w:autoSpaceDN w:val="0"/>
        <w:spacing w:before="0" w:beforeLines="0" w:beforeAutospacing="0" w:after="0" w:afterLines="0" w:afterAutospacing="0" w:line="579" w:lineRule="exact"/>
        <w:ind w:firstLine="640" w:firstLineChars="200"/>
        <w:rPr>
          <w:rFonts w:hint="eastAsia" w:ascii="仿宋_GB2312" w:hAnsi="仿宋_GB2312" w:eastAsia="仿宋_GB2312" w:cs="仿宋_GB2312"/>
          <w:i w:val="0"/>
          <w:iCs w:val="0"/>
          <w:caps w:val="0"/>
          <w:color w:val="auto"/>
          <w:spacing w:val="0"/>
          <w:sz w:val="32"/>
          <w:szCs w:val="32"/>
          <w:u w:val="none" w:color="auto"/>
          <w:shd w:val="clear" w:color="auto" w:fill="FFFFFF"/>
          <w:lang w:val="en-US" w:eastAsia="zh-CN"/>
        </w:rPr>
      </w:pPr>
      <w:r>
        <w:rPr>
          <w:rFonts w:hint="eastAsia" w:ascii="楷体_GB2312" w:hAnsi="楷体_GB2312" w:eastAsia="楷体_GB2312" w:cs="楷体_GB2312"/>
          <w:i w:val="0"/>
          <w:iCs w:val="0"/>
          <w:caps w:val="0"/>
          <w:color w:val="auto"/>
          <w:spacing w:val="0"/>
          <w:sz w:val="32"/>
          <w:szCs w:val="32"/>
          <w:u w:val="none" w:color="auto"/>
          <w:shd w:val="clear" w:color="auto" w:fill="FFFFFF"/>
          <w:lang w:val="en-US" w:eastAsia="zh-CN"/>
        </w:rPr>
        <w:t>（一）强化财政资金支持引导。</w:t>
      </w:r>
      <w:r>
        <w:rPr>
          <w:rFonts w:hint="eastAsia" w:ascii="仿宋_GB2312" w:hAnsi="仿宋_GB2312" w:eastAsia="仿宋_GB2312" w:cs="仿宋_GB2312"/>
          <w:i w:val="0"/>
          <w:iCs w:val="0"/>
          <w:caps w:val="0"/>
          <w:color w:val="auto"/>
          <w:spacing w:val="0"/>
          <w:sz w:val="32"/>
          <w:szCs w:val="32"/>
          <w:u w:val="none" w:color="auto"/>
          <w:shd w:val="clear" w:color="auto" w:fill="FFFFFF"/>
          <w:lang w:val="en-US" w:eastAsia="zh-CN"/>
        </w:rPr>
        <w:t>紧紧围绕碳达峰碳中和工作部署要求，强化财政资金资源统筹配置，优化财政支出结构，加大对碳达峰碳中和工作的支持力度，突出重</w:t>
      </w:r>
      <w:r>
        <w:rPr>
          <w:rFonts w:hint="eastAsia" w:ascii="仿宋_GB2312" w:hAnsi="仿宋_GB2312" w:eastAsia="仿宋_GB2312" w:cs="仿宋_GB2312"/>
          <w:b w:val="0"/>
          <w:bCs w:val="0"/>
          <w:i w:val="0"/>
          <w:caps w:val="0"/>
          <w:color w:val="auto"/>
          <w:spacing w:val="0"/>
          <w:kern w:val="21"/>
          <w:sz w:val="32"/>
          <w:szCs w:val="32"/>
          <w:u w:val="none" w:color="auto"/>
          <w:shd w:val="clear" w:color="auto" w:fill="FFFFFF"/>
          <w:lang w:eastAsia="zh-CN"/>
        </w:rPr>
        <w:t>点领域、关键环节、核心技术、</w:t>
      </w:r>
      <w:r>
        <w:rPr>
          <w:rFonts w:hint="eastAsia" w:ascii="仿宋_GB2312" w:hAnsi="仿宋_GB2312" w:eastAsia="仿宋_GB2312" w:cs="仿宋_GB2312"/>
          <w:i w:val="0"/>
          <w:iCs w:val="0"/>
          <w:caps w:val="0"/>
          <w:color w:val="auto"/>
          <w:spacing w:val="0"/>
          <w:sz w:val="32"/>
          <w:szCs w:val="32"/>
          <w:u w:val="none" w:color="auto"/>
          <w:shd w:val="clear" w:color="auto" w:fill="FFFFFF"/>
          <w:lang w:val="en-US" w:eastAsia="zh-CN"/>
        </w:rPr>
        <w:t>重要项目、</w:t>
      </w:r>
      <w:r>
        <w:rPr>
          <w:rFonts w:hint="eastAsia" w:ascii="仿宋_GB2312" w:hAnsi="仿宋_GB2312" w:eastAsia="仿宋_GB2312" w:cs="仿宋_GB2312"/>
          <w:b w:val="0"/>
          <w:bCs w:val="0"/>
          <w:i w:val="0"/>
          <w:caps w:val="0"/>
          <w:color w:val="auto"/>
          <w:spacing w:val="0"/>
          <w:kern w:val="21"/>
          <w:sz w:val="32"/>
          <w:szCs w:val="32"/>
          <w:u w:val="none" w:color="auto"/>
          <w:shd w:val="clear" w:color="auto" w:fill="FFFFFF"/>
          <w:lang w:eastAsia="zh-CN"/>
        </w:rPr>
        <w:t>有效机制</w:t>
      </w:r>
      <w:r>
        <w:rPr>
          <w:rFonts w:hint="eastAsia" w:ascii="仿宋_GB2312" w:hAnsi="仿宋_GB2312" w:eastAsia="仿宋_GB2312" w:cs="仿宋_GB2312"/>
          <w:i w:val="0"/>
          <w:iCs w:val="0"/>
          <w:caps w:val="0"/>
          <w:color w:val="auto"/>
          <w:spacing w:val="0"/>
          <w:sz w:val="32"/>
          <w:szCs w:val="32"/>
          <w:u w:val="none" w:color="auto"/>
          <w:shd w:val="clear" w:color="auto" w:fill="FFFFFF"/>
          <w:lang w:val="en-US" w:eastAsia="zh-CN"/>
        </w:rPr>
        <w:t>做好财政资金保障，</w:t>
      </w:r>
      <w:r>
        <w:rPr>
          <w:rFonts w:hint="eastAsia" w:ascii="仿宋_GB2312" w:hAnsi="仿宋_GB2312" w:eastAsia="仿宋_GB2312" w:cs="仿宋_GB2312"/>
          <w:color w:val="auto"/>
          <w:spacing w:val="0"/>
          <w:kern w:val="21"/>
          <w:sz w:val="32"/>
          <w:szCs w:val="32"/>
          <w:u w:val="none" w:color="auto"/>
          <w:shd w:val="clear" w:color="auto" w:fill="auto"/>
          <w:lang w:val="en-US" w:eastAsia="zh-CN"/>
        </w:rPr>
        <w:t>不断提高财政资金资源配置效率和资金使用效益</w:t>
      </w:r>
      <w:r>
        <w:rPr>
          <w:rFonts w:hint="eastAsia" w:ascii="仿宋_GB2312" w:hAnsi="仿宋_GB2312" w:eastAsia="仿宋_GB2312" w:cs="仿宋_GB2312"/>
          <w:i w:val="0"/>
          <w:iCs w:val="0"/>
          <w:caps w:val="0"/>
          <w:color w:val="auto"/>
          <w:spacing w:val="0"/>
          <w:sz w:val="32"/>
          <w:szCs w:val="32"/>
          <w:u w:val="none" w:color="auto"/>
          <w:shd w:val="clear" w:color="auto" w:fill="FFFFFF"/>
          <w:lang w:val="en-US" w:eastAsia="zh-CN"/>
        </w:rPr>
        <w:t>。积极推进设立财政专项资金“低碳门槛”制度，未达到最低门槛要求的个人、法人组织等不得申请专项资金扶持。</w:t>
      </w:r>
      <w:r>
        <w:rPr>
          <w:rFonts w:hint="eastAsia" w:ascii="仿宋_GB2312" w:hAnsi="仿宋_GB2312" w:eastAsia="仿宋_GB2312" w:cs="仿宋_GB2312"/>
          <w:b w:val="0"/>
          <w:bCs w:val="0"/>
          <w:color w:val="000000"/>
          <w:kern w:val="0"/>
          <w:sz w:val="32"/>
          <w:szCs w:val="32"/>
          <w:u w:val="none" w:color="auto"/>
          <w:lang w:val="en-US" w:eastAsia="zh-CN" w:bidi="ar"/>
        </w:rPr>
        <w:t>梳理整合设立碳达峰碳中和领域相关专项资金。</w:t>
      </w:r>
    </w:p>
    <w:p>
      <w:pPr>
        <w:keepNext w:val="0"/>
        <w:keepLines w:val="0"/>
        <w:pageBreakBefore w:val="0"/>
        <w:numPr>
          <w:ilvl w:val="0"/>
          <w:numId w:val="0"/>
        </w:numPr>
        <w:kinsoku/>
        <w:wordWrap/>
        <w:topLinePunct w:val="0"/>
        <w:bidi w:val="0"/>
        <w:adjustRightInd/>
        <w:snapToGrid/>
        <w:spacing w:beforeLines="0" w:afterLines="0" w:line="579" w:lineRule="exact"/>
        <w:ind w:firstLine="640" w:firstLineChars="200"/>
        <w:rPr>
          <w:rFonts w:hint="eastAsia" w:ascii="仿宋_GB2312" w:hAnsi="仿宋_GB2312" w:eastAsia="仿宋_GB2312" w:cs="仿宋_GB2312"/>
          <w:i w:val="0"/>
          <w:iCs w:val="0"/>
          <w:caps w:val="0"/>
          <w:color w:val="auto"/>
          <w:spacing w:val="0"/>
          <w:sz w:val="32"/>
          <w:szCs w:val="32"/>
          <w:u w:val="none" w:color="auto"/>
          <w:shd w:val="clear" w:color="auto" w:fill="FFFFFF"/>
          <w:lang w:val="en-US" w:eastAsia="zh-CN"/>
        </w:rPr>
      </w:pPr>
      <w:r>
        <w:rPr>
          <w:rFonts w:hint="eastAsia" w:ascii="楷体_GB2312" w:hAnsi="楷体_GB2312" w:eastAsia="楷体_GB2312" w:cs="楷体_GB2312"/>
          <w:i w:val="0"/>
          <w:iCs w:val="0"/>
          <w:caps w:val="0"/>
          <w:color w:val="auto"/>
          <w:spacing w:val="0"/>
          <w:sz w:val="32"/>
          <w:szCs w:val="32"/>
          <w:u w:val="none" w:color="auto"/>
          <w:shd w:val="clear" w:color="auto" w:fill="FFFFFF"/>
          <w:lang w:val="en-US" w:eastAsia="zh-CN"/>
        </w:rPr>
        <w:t>（二）健全市场化多元化资金保障机制。</w:t>
      </w:r>
      <w:r>
        <w:rPr>
          <w:rFonts w:hint="eastAsia" w:ascii="仿宋_GB2312" w:hAnsi="仿宋_GB2312" w:eastAsia="仿宋_GB2312" w:cs="仿宋_GB2312"/>
          <w:i w:val="0"/>
          <w:iCs w:val="0"/>
          <w:caps w:val="0"/>
          <w:color w:val="auto"/>
          <w:spacing w:val="0"/>
          <w:sz w:val="32"/>
          <w:szCs w:val="32"/>
          <w:u w:val="none" w:color="auto"/>
          <w:shd w:val="clear" w:color="auto" w:fill="FFFFFF"/>
          <w:lang w:val="en-US" w:eastAsia="zh-CN"/>
        </w:rPr>
        <w:t>按照政府引导、社会资本参与的原则，增加应对气候变化投资。</w:t>
      </w:r>
      <w:r>
        <w:rPr>
          <w:rFonts w:hint="eastAsia" w:ascii="仿宋_GB2312" w:hAnsi="仿宋_GB2312" w:eastAsia="仿宋_GB2312" w:cs="仿宋_GB2312"/>
          <w:i w:val="0"/>
          <w:iCs w:val="0"/>
          <w:caps w:val="0"/>
          <w:color w:val="000000"/>
          <w:spacing w:val="0"/>
          <w:kern w:val="0"/>
          <w:sz w:val="32"/>
          <w:szCs w:val="32"/>
          <w:u w:val="none" w:color="auto"/>
          <w:shd w:val="clear" w:color="auto" w:fill="auto"/>
          <w:lang w:val="en-US" w:eastAsia="zh-CN" w:bidi="ar"/>
        </w:rPr>
        <w:t>规范有序实施应对气候变化领域相关政府和社会资本合作（PPP）项目。将符合条件的绿色低碳发展、应对气候变化等项目纳入政府债券支持范围。</w:t>
      </w:r>
      <w:r>
        <w:rPr>
          <w:rFonts w:hint="eastAsia" w:ascii="仿宋_GB2312" w:hAnsi="仿宋_GB2312" w:eastAsia="仿宋_GB2312" w:cs="仿宋_GB2312"/>
          <w:snapToGrid/>
          <w:color w:val="auto"/>
          <w:spacing w:val="0"/>
          <w:kern w:val="2"/>
          <w:sz w:val="32"/>
          <w:szCs w:val="32"/>
          <w:highlight w:val="none"/>
          <w:u w:val="none" w:color="auto"/>
          <w:lang w:val="en-US" w:eastAsia="zh-CN" w:bidi="ar-SA"/>
        </w:rPr>
        <w:t>系统重构全市</w:t>
      </w:r>
      <w:r>
        <w:rPr>
          <w:rFonts w:hint="eastAsia" w:ascii="仿宋_GB2312" w:hAnsi="仿宋_GB2312" w:eastAsia="仿宋_GB2312" w:cs="仿宋_GB2312"/>
          <w:snapToGrid/>
          <w:color w:val="auto"/>
          <w:spacing w:val="0"/>
          <w:kern w:val="2"/>
          <w:sz w:val="32"/>
          <w:szCs w:val="32"/>
          <w:highlight w:val="none"/>
          <w:u w:val="none" w:color="auto"/>
          <w:lang w:bidi="ar-SA"/>
        </w:rPr>
        <w:t>产业基金引导体系，</w:t>
      </w:r>
      <w:r>
        <w:rPr>
          <w:rFonts w:hint="eastAsia" w:ascii="仿宋_GB2312" w:hAnsi="Times New Roman" w:eastAsia="仿宋_GB2312" w:cs="Times New Roman"/>
          <w:color w:val="auto"/>
          <w:kern w:val="21"/>
          <w:sz w:val="32"/>
          <w:szCs w:val="32"/>
          <w:highlight w:val="none"/>
          <w:u w:val="none" w:color="auto"/>
        </w:rPr>
        <w:t>强化市引导基金促进“20+8”产业集群发展效用</w:t>
      </w:r>
      <w:r>
        <w:rPr>
          <w:rFonts w:hint="eastAsia" w:ascii="仿宋_GB2312" w:hAnsi="Times New Roman" w:eastAsia="仿宋_GB2312" w:cs="Times New Roman"/>
          <w:color w:val="auto"/>
          <w:kern w:val="21"/>
          <w:sz w:val="32"/>
          <w:szCs w:val="32"/>
          <w:highlight w:val="none"/>
          <w:u w:val="none" w:color="auto"/>
          <w:lang w:eastAsia="zh-CN"/>
        </w:rPr>
        <w:t>，</w:t>
      </w:r>
      <w:r>
        <w:rPr>
          <w:rFonts w:hint="eastAsia" w:ascii="仿宋_GB2312" w:hAnsi="仿宋_GB2312" w:eastAsia="仿宋_GB2312" w:cs="仿宋_GB2312"/>
          <w:color w:val="auto"/>
          <w:kern w:val="2"/>
          <w:sz w:val="32"/>
          <w:szCs w:val="32"/>
          <w:highlight w:val="none"/>
          <w:u w:val="none" w:color="auto"/>
          <w:lang w:eastAsia="zh-CN" w:bidi="ar-SA"/>
        </w:rPr>
        <w:t>加快</w:t>
      </w:r>
      <w:r>
        <w:rPr>
          <w:rFonts w:hint="eastAsia" w:ascii="仿宋_GB2312" w:hAnsi="仿宋_GB2312" w:eastAsia="仿宋_GB2312" w:cs="仿宋_GB2312"/>
          <w:color w:val="auto"/>
          <w:kern w:val="2"/>
          <w:sz w:val="32"/>
          <w:szCs w:val="32"/>
          <w:highlight w:val="none"/>
          <w:u w:val="none" w:color="auto"/>
          <w:lang w:bidi="ar-SA"/>
        </w:rPr>
        <w:t>新能源汽车产业基金</w:t>
      </w:r>
      <w:r>
        <w:rPr>
          <w:rFonts w:hint="eastAsia" w:ascii="仿宋_GB2312" w:hAnsi="仿宋_GB2312" w:eastAsia="仿宋_GB2312" w:cs="仿宋_GB2312"/>
          <w:color w:val="auto"/>
          <w:kern w:val="2"/>
          <w:sz w:val="32"/>
          <w:szCs w:val="32"/>
          <w:highlight w:val="none"/>
          <w:u w:val="none" w:color="auto"/>
          <w:lang w:eastAsia="zh-CN" w:bidi="ar-SA"/>
        </w:rPr>
        <w:t>落地运行，推动设立</w:t>
      </w:r>
      <w:r>
        <w:rPr>
          <w:rFonts w:hint="eastAsia" w:ascii="仿宋_GB2312" w:hAnsi="仿宋_GB2312" w:eastAsia="仿宋_GB2312" w:cs="仿宋_GB2312"/>
          <w:color w:val="auto"/>
          <w:kern w:val="2"/>
          <w:sz w:val="32"/>
          <w:szCs w:val="32"/>
          <w:highlight w:val="none"/>
          <w:u w:val="none" w:color="auto"/>
          <w:lang w:bidi="ar-SA"/>
        </w:rPr>
        <w:t>新能源产业基金</w:t>
      </w:r>
      <w:r>
        <w:rPr>
          <w:rFonts w:hint="eastAsia" w:ascii="仿宋_GB2312" w:hAnsi="仿宋_GB2312" w:eastAsia="仿宋_GB2312" w:cs="仿宋_GB2312"/>
          <w:color w:val="auto"/>
          <w:kern w:val="2"/>
          <w:sz w:val="32"/>
          <w:szCs w:val="32"/>
          <w:highlight w:val="none"/>
          <w:u w:val="none" w:color="auto"/>
          <w:lang w:eastAsia="zh-CN" w:bidi="ar-SA"/>
        </w:rPr>
        <w:t>等，撬动社会资本加大投入</w:t>
      </w:r>
      <w:r>
        <w:rPr>
          <w:rFonts w:hint="eastAsia" w:ascii="仿宋_GB2312" w:hAnsi="Times New Roman" w:eastAsia="仿宋_GB2312"/>
          <w:color w:val="auto"/>
          <w:spacing w:val="0"/>
          <w:kern w:val="21"/>
          <w:sz w:val="32"/>
          <w:szCs w:val="32"/>
          <w:highlight w:val="none"/>
          <w:u w:val="none" w:color="auto"/>
          <w:lang w:eastAsia="zh-CN"/>
        </w:rPr>
        <w:t>。积极</w:t>
      </w:r>
      <w:r>
        <w:rPr>
          <w:rFonts w:hint="eastAsia" w:ascii="仿宋_GB2312" w:hAnsi="仿宋_GB2312" w:eastAsia="仿宋_GB2312" w:cs="仿宋_GB2312"/>
          <w:i w:val="0"/>
          <w:iCs w:val="0"/>
          <w:caps w:val="0"/>
          <w:color w:val="auto"/>
          <w:spacing w:val="0"/>
          <w:sz w:val="32"/>
          <w:szCs w:val="32"/>
          <w:u w:val="none" w:color="auto"/>
          <w:shd w:val="clear" w:color="auto" w:fill="FFFFFF"/>
          <w:lang w:val="en-US" w:eastAsia="zh-CN"/>
        </w:rPr>
        <w:t>争取国家级基金投资，围绕减缓和适应气候变化目标，探索设立气候投资基金。</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i w:val="0"/>
          <w:iCs w:val="0"/>
          <w:caps w:val="0"/>
          <w:color w:val="auto"/>
          <w:spacing w:val="0"/>
          <w:sz w:val="32"/>
          <w:szCs w:val="32"/>
          <w:u w:val="none" w:color="auto"/>
          <w:shd w:val="clear" w:color="auto" w:fill="FFFFFF"/>
          <w:lang w:val="en-US" w:eastAsia="zh-CN"/>
        </w:rPr>
      </w:pPr>
      <w:r>
        <w:rPr>
          <w:rFonts w:hint="eastAsia" w:ascii="楷体_GB2312" w:hAnsi="楷体_GB2312" w:eastAsia="楷体_GB2312" w:cs="楷体_GB2312"/>
          <w:i w:val="0"/>
          <w:iCs w:val="0"/>
          <w:caps w:val="0"/>
          <w:color w:val="auto"/>
          <w:spacing w:val="0"/>
          <w:sz w:val="32"/>
          <w:szCs w:val="32"/>
          <w:u w:val="none" w:color="auto"/>
          <w:shd w:val="clear" w:color="auto" w:fill="FFFFFF"/>
          <w:lang w:val="en-US" w:eastAsia="zh-CN"/>
        </w:rPr>
        <w:t>（三）完善绿色发展财政奖惩机制。</w:t>
      </w:r>
      <w:r>
        <w:rPr>
          <w:rFonts w:hint="eastAsia" w:ascii="仿宋_GB2312" w:hAnsi="仿宋_GB2312" w:eastAsia="仿宋_GB2312" w:cs="仿宋_GB2312"/>
          <w:i w:val="0"/>
          <w:iCs w:val="0"/>
          <w:caps w:val="0"/>
          <w:color w:val="auto"/>
          <w:spacing w:val="0"/>
          <w:sz w:val="32"/>
          <w:szCs w:val="32"/>
          <w:u w:val="none" w:color="auto"/>
          <w:shd w:val="clear" w:color="auto" w:fill="FFFFFF"/>
          <w:lang w:val="en-US" w:eastAsia="zh-CN"/>
        </w:rPr>
        <w:t>推动建立污染物总量、能耗强度、碳排放总量与强度、生态系统生产总值（GEP）等减污降碳指标为基础的综合评价指标体系，评价结果作为市财政对区转移支付资金分配的重要依据。开展绿色发展财政奖惩试点，引导各区绿色低碳高质量发展。</w:t>
      </w:r>
      <w:r>
        <w:rPr>
          <w:rFonts w:hint="eastAsia" w:ascii="仿宋_GB2312" w:eastAsia="仿宋_GB2312" w:cs="仿宋_GB2312"/>
          <w:color w:val="000000"/>
          <w:sz w:val="32"/>
          <w:szCs w:val="32"/>
          <w:u w:val="none" w:color="auto"/>
          <w:lang w:eastAsia="zh-CN"/>
        </w:rPr>
        <w:t>研究</w:t>
      </w:r>
      <w:r>
        <w:rPr>
          <w:rFonts w:hint="eastAsia" w:ascii="仿宋_GB2312" w:eastAsia="仿宋_GB2312" w:cs="仿宋_GB2312"/>
          <w:color w:val="000000"/>
          <w:sz w:val="32"/>
          <w:szCs w:val="32"/>
          <w:u w:val="none" w:color="auto"/>
        </w:rPr>
        <w:t>建立基本生态控制线用地指标的跨区占补平衡机制</w:t>
      </w:r>
      <w:r>
        <w:rPr>
          <w:rFonts w:hint="eastAsia" w:ascii="仿宋_GB2312" w:eastAsia="仿宋_GB2312" w:cs="仿宋_GB2312"/>
          <w:color w:val="000000"/>
          <w:sz w:val="32"/>
          <w:szCs w:val="32"/>
          <w:u w:val="none" w:color="auto"/>
          <w:lang w:eastAsia="zh-CN"/>
        </w:rPr>
        <w:t>，</w:t>
      </w:r>
      <w:r>
        <w:rPr>
          <w:rFonts w:hint="eastAsia" w:ascii="仿宋_GB2312" w:eastAsia="仿宋_GB2312" w:cs="仿宋_GB2312"/>
          <w:color w:val="000000"/>
          <w:sz w:val="32"/>
          <w:szCs w:val="32"/>
          <w:u w:val="none" w:color="auto"/>
        </w:rPr>
        <w:t>以基本生态控制线单位面积生态系统生产总值（GEP）为核算基准，确定生态用地指标价值，由需要占用基本生态线用地指标的区，向其他区购买富余指标，并向其支付指标占用经费。</w:t>
      </w:r>
    </w:p>
    <w:p>
      <w:pPr>
        <w:keepNext w:val="0"/>
        <w:keepLines w:val="0"/>
        <w:pageBreakBefore w:val="0"/>
        <w:numPr>
          <w:ilvl w:val="0"/>
          <w:numId w:val="0"/>
        </w:numPr>
        <w:kinsoku/>
        <w:wordWrap/>
        <w:topLinePunct w:val="0"/>
        <w:bidi w:val="0"/>
        <w:adjustRightInd/>
        <w:snapToGrid/>
        <w:spacing w:beforeLines="0" w:afterLines="0" w:line="579" w:lineRule="exact"/>
        <w:ind w:firstLine="640" w:firstLineChars="200"/>
        <w:rPr>
          <w:rFonts w:hint="eastAsia" w:ascii="楷体" w:hAnsi="楷体" w:eastAsia="楷体" w:cs="楷体"/>
          <w:i w:val="0"/>
          <w:iCs w:val="0"/>
          <w:caps w:val="0"/>
          <w:color w:val="auto"/>
          <w:spacing w:val="0"/>
          <w:sz w:val="32"/>
          <w:szCs w:val="32"/>
          <w:u w:val="none" w:color="auto"/>
          <w:shd w:val="clear" w:color="auto" w:fill="FFFFFF"/>
          <w:lang w:val="en-US" w:eastAsia="zh-CN"/>
        </w:rPr>
      </w:pPr>
      <w:r>
        <w:rPr>
          <w:rFonts w:hint="eastAsia" w:ascii="楷体_GB2312" w:hAnsi="楷体_GB2312" w:eastAsia="楷体_GB2312" w:cs="楷体_GB2312"/>
          <w:i w:val="0"/>
          <w:iCs w:val="0"/>
          <w:caps w:val="0"/>
          <w:color w:val="auto"/>
          <w:spacing w:val="0"/>
          <w:sz w:val="32"/>
          <w:szCs w:val="32"/>
          <w:u w:val="none" w:color="auto"/>
          <w:shd w:val="clear" w:color="auto" w:fill="FFFFFF"/>
          <w:lang w:val="en-US" w:eastAsia="zh-CN"/>
        </w:rPr>
        <w:t>（四）发挥绿色金融支持碳达峰碳中和的作用。</w:t>
      </w:r>
      <w:r>
        <w:rPr>
          <w:rFonts w:hint="eastAsia" w:ascii="仿宋_GB2312" w:hAnsi="仿宋_GB2312" w:eastAsia="仿宋_GB2312" w:cs="仿宋_GB2312"/>
          <w:b w:val="0"/>
          <w:bCs w:val="0"/>
          <w:spacing w:val="0"/>
          <w:kern w:val="21"/>
          <w:sz w:val="32"/>
          <w:szCs w:val="32"/>
          <w:highlight w:val="none"/>
          <w:u w:val="none" w:color="auto"/>
          <w:lang w:val="en-US" w:eastAsia="zh-CN" w:bidi="ar-SA"/>
        </w:rPr>
        <w:t>推动绿色金融发展，</w:t>
      </w:r>
      <w:r>
        <w:rPr>
          <w:rFonts w:hint="default" w:ascii="仿宋_GB2312" w:hAnsi="仿宋_GB2312" w:eastAsia="仿宋_GB2312" w:cs="仿宋_GB2312"/>
          <w:b w:val="0"/>
          <w:bCs w:val="0"/>
          <w:spacing w:val="0"/>
          <w:kern w:val="21"/>
          <w:sz w:val="32"/>
          <w:szCs w:val="32"/>
          <w:highlight w:val="none"/>
          <w:u w:val="none" w:color="auto"/>
          <w:lang w:val="en-US" w:eastAsia="zh-CN" w:bidi="ar-SA"/>
        </w:rPr>
        <w:t>建立健全绿色信贷贴息机制，支持绿色债券发行，充分发挥绿色保险保障功能</w:t>
      </w:r>
      <w:r>
        <w:rPr>
          <w:rFonts w:hint="eastAsia" w:ascii="仿宋_GB2312" w:hAnsi="仿宋_GB2312" w:eastAsia="仿宋_GB2312" w:cs="仿宋_GB2312"/>
          <w:b w:val="0"/>
          <w:bCs w:val="0"/>
          <w:spacing w:val="0"/>
          <w:kern w:val="21"/>
          <w:sz w:val="32"/>
          <w:szCs w:val="32"/>
          <w:highlight w:val="none"/>
          <w:u w:val="none" w:color="auto"/>
          <w:lang w:val="en-US" w:eastAsia="zh-CN" w:bidi="ar-SA"/>
        </w:rPr>
        <w:t>；</w:t>
      </w:r>
      <w:r>
        <w:rPr>
          <w:rFonts w:hint="default" w:ascii="仿宋_GB2312" w:hAnsi="仿宋_GB2312" w:eastAsia="仿宋_GB2312" w:cs="仿宋_GB2312"/>
          <w:b w:val="0"/>
          <w:bCs w:val="0"/>
          <w:spacing w:val="0"/>
          <w:kern w:val="21"/>
          <w:sz w:val="32"/>
          <w:szCs w:val="32"/>
          <w:highlight w:val="none"/>
          <w:u w:val="none" w:color="auto"/>
          <w:lang w:val="en-US" w:eastAsia="zh-CN" w:bidi="ar-SA"/>
        </w:rPr>
        <w:t>提高绿色贷款风险补偿比例，加大市融担基金再担保政策力度。</w:t>
      </w:r>
      <w:r>
        <w:rPr>
          <w:rFonts w:hint="eastAsia" w:ascii="仿宋_GB2312" w:hAnsi="仿宋_GB2312" w:eastAsia="仿宋_GB2312" w:cs="仿宋_GB2312"/>
          <w:b w:val="0"/>
          <w:bCs w:val="0"/>
          <w:spacing w:val="0"/>
          <w:kern w:val="21"/>
          <w:sz w:val="32"/>
          <w:szCs w:val="32"/>
          <w:highlight w:val="none"/>
          <w:u w:val="none" w:color="auto"/>
          <w:lang w:val="en-US" w:eastAsia="zh-CN" w:bidi="ar-SA"/>
        </w:rPr>
        <w:t>结合工作实际组织开展</w:t>
      </w:r>
      <w:r>
        <w:rPr>
          <w:rFonts w:hint="eastAsia" w:ascii="仿宋_GB2312" w:hAnsi="仿宋_GB2312" w:eastAsia="仿宋_GB2312" w:cs="仿宋_GB2312"/>
          <w:i w:val="0"/>
          <w:iCs w:val="0"/>
          <w:caps w:val="0"/>
          <w:color w:val="auto"/>
          <w:spacing w:val="0"/>
          <w:sz w:val="32"/>
          <w:szCs w:val="32"/>
          <w:u w:val="none" w:color="auto"/>
          <w:shd w:val="clear" w:color="auto" w:fill="FFFFFF"/>
          <w:lang w:val="en-US" w:eastAsia="zh-CN"/>
        </w:rPr>
        <w:t>财政部清洁发展机制基金</w:t>
      </w:r>
      <w:r>
        <w:rPr>
          <w:rFonts w:hint="eastAsia" w:ascii="仿宋_GB2312" w:hAnsi="仿宋_GB2312" w:eastAsia="仿宋_GB2312" w:cs="仿宋_GB2312"/>
          <w:b w:val="0"/>
          <w:bCs w:val="0"/>
          <w:spacing w:val="0"/>
          <w:kern w:val="21"/>
          <w:sz w:val="32"/>
          <w:szCs w:val="32"/>
          <w:highlight w:val="none"/>
          <w:u w:val="none" w:color="auto"/>
          <w:lang w:val="en-US" w:eastAsia="zh-CN" w:bidi="ar-SA"/>
        </w:rPr>
        <w:t>委托贷款业务。</w:t>
      </w:r>
      <w:r>
        <w:rPr>
          <w:rFonts w:hint="eastAsia" w:ascii="仿宋_GB2312" w:hAnsi="仿宋_GB2312" w:eastAsia="仿宋_GB2312" w:cs="仿宋_GB2312"/>
          <w:i w:val="0"/>
          <w:iCs w:val="0"/>
          <w:caps w:val="0"/>
          <w:color w:val="auto"/>
          <w:spacing w:val="0"/>
          <w:sz w:val="32"/>
          <w:szCs w:val="32"/>
          <w:u w:val="none" w:color="auto"/>
          <w:shd w:val="clear" w:color="auto" w:fill="FFFFFF"/>
          <w:lang w:val="en-US" w:eastAsia="zh-CN"/>
        </w:rPr>
        <w:t>支持开展国家（深圳）气候投融资项目库建设，对国家（深圳）气候投融资项目库入库项目融资给予财政资金支持，对金融机构开展气候投融资给予鼓励。</w:t>
      </w:r>
    </w:p>
    <w:p>
      <w:pPr>
        <w:keepNext w:val="0"/>
        <w:keepLines w:val="0"/>
        <w:pageBreakBefore w:val="0"/>
        <w:numPr>
          <w:ilvl w:val="0"/>
          <w:numId w:val="0"/>
        </w:numPr>
        <w:kinsoku/>
        <w:wordWrap/>
        <w:topLinePunct w:val="0"/>
        <w:bidi w:val="0"/>
        <w:adjustRightInd/>
        <w:snapToGrid/>
        <w:spacing w:beforeLines="0" w:afterLines="0" w:line="579" w:lineRule="exact"/>
        <w:ind w:firstLine="640" w:firstLineChars="200"/>
        <w:rPr>
          <w:rFonts w:hint="eastAsia" w:ascii="仿宋_GB2312" w:hAnsi="仿宋_GB2312" w:eastAsia="仿宋_GB2312" w:cs="仿宋_GB2312"/>
          <w:i w:val="0"/>
          <w:iCs w:val="0"/>
          <w:caps w:val="0"/>
          <w:color w:val="auto"/>
          <w:spacing w:val="0"/>
          <w:sz w:val="32"/>
          <w:szCs w:val="32"/>
          <w:u w:val="none" w:color="auto"/>
          <w:shd w:val="clear" w:color="auto" w:fill="FFFFFF"/>
          <w:lang w:val="en-US" w:eastAsia="zh-CN"/>
        </w:rPr>
      </w:pPr>
      <w:r>
        <w:rPr>
          <w:rFonts w:hint="eastAsia" w:ascii="楷体_GB2312" w:hAnsi="楷体_GB2312" w:eastAsia="楷体_GB2312" w:cs="楷体_GB2312"/>
          <w:i w:val="0"/>
          <w:iCs w:val="0"/>
          <w:caps w:val="0"/>
          <w:color w:val="auto"/>
          <w:spacing w:val="0"/>
          <w:sz w:val="32"/>
          <w:szCs w:val="32"/>
          <w:u w:val="none" w:color="auto"/>
          <w:shd w:val="clear" w:color="auto" w:fill="FFFFFF"/>
          <w:lang w:val="en-US" w:eastAsia="zh-CN"/>
        </w:rPr>
        <w:t>（五）强化政府绿色采购引导。</w:t>
      </w:r>
      <w:r>
        <w:rPr>
          <w:rFonts w:hint="eastAsia" w:ascii="仿宋_GB2312" w:hAnsi="仿宋_GB2312" w:eastAsia="仿宋_GB2312" w:cs="仿宋_GB2312"/>
          <w:color w:val="auto"/>
          <w:kern w:val="0"/>
          <w:sz w:val="32"/>
          <w:szCs w:val="32"/>
          <w:highlight w:val="none"/>
          <w:u w:val="none" w:color="auto"/>
          <w:lang w:eastAsia="zh-CN"/>
        </w:rPr>
        <w:t>强化</w:t>
      </w:r>
      <w:r>
        <w:rPr>
          <w:rFonts w:hint="eastAsia" w:ascii="仿宋_GB2312" w:hAnsi="仿宋_GB2312" w:eastAsia="仿宋_GB2312" w:cs="仿宋_GB2312"/>
          <w:color w:val="auto"/>
          <w:kern w:val="0"/>
          <w:sz w:val="32"/>
          <w:szCs w:val="32"/>
          <w:highlight w:val="none"/>
          <w:u w:val="none" w:color="auto"/>
        </w:rPr>
        <w:t>采购人落实政府采购政策功能要求</w:t>
      </w:r>
      <w:r>
        <w:rPr>
          <w:rFonts w:hint="eastAsia" w:ascii="仿宋_GB2312" w:hAnsi="仿宋_GB2312" w:eastAsia="仿宋_GB2312" w:cs="仿宋_GB2312"/>
          <w:color w:val="auto"/>
          <w:kern w:val="0"/>
          <w:sz w:val="32"/>
          <w:szCs w:val="32"/>
          <w:highlight w:val="none"/>
          <w:u w:val="none" w:color="auto"/>
          <w:lang w:eastAsia="zh-CN"/>
        </w:rPr>
        <w:t>的主体责任</w:t>
      </w:r>
      <w:r>
        <w:rPr>
          <w:rFonts w:hint="eastAsia" w:ascii="仿宋_GB2312" w:hAnsi="仿宋_GB2312" w:eastAsia="仿宋_GB2312" w:cs="仿宋_GB2312"/>
          <w:color w:val="auto"/>
          <w:kern w:val="0"/>
          <w:sz w:val="32"/>
          <w:szCs w:val="32"/>
          <w:highlight w:val="none"/>
          <w:u w:val="none" w:color="auto"/>
        </w:rPr>
        <w:t>，支持节能环保</w:t>
      </w:r>
      <w:r>
        <w:rPr>
          <w:rFonts w:hint="eastAsia" w:ascii="仿宋_GB2312" w:hAnsi="仿宋_GB2312" w:eastAsia="仿宋_GB2312" w:cs="仿宋_GB2312"/>
          <w:color w:val="auto"/>
          <w:kern w:val="0"/>
          <w:sz w:val="32"/>
          <w:szCs w:val="32"/>
          <w:highlight w:val="none"/>
          <w:u w:val="none" w:color="auto"/>
          <w:lang w:eastAsia="zh-CN"/>
        </w:rPr>
        <w:t>等</w:t>
      </w:r>
      <w:r>
        <w:rPr>
          <w:rFonts w:hint="eastAsia" w:ascii="仿宋_GB2312" w:hAnsi="仿宋_GB2312" w:eastAsia="仿宋_GB2312" w:cs="仿宋_GB2312"/>
          <w:color w:val="auto"/>
          <w:kern w:val="0"/>
          <w:sz w:val="32"/>
          <w:szCs w:val="32"/>
          <w:highlight w:val="none"/>
          <w:u w:val="none" w:color="auto"/>
        </w:rPr>
        <w:t>企业发展</w:t>
      </w:r>
      <w:r>
        <w:rPr>
          <w:rFonts w:hint="eastAsia" w:ascii="仿宋_GB2312" w:hAnsi="仿宋_GB2312" w:eastAsia="仿宋_GB2312" w:cs="仿宋_GB2312"/>
          <w:color w:val="auto"/>
          <w:kern w:val="0"/>
          <w:sz w:val="32"/>
          <w:szCs w:val="32"/>
          <w:highlight w:val="none"/>
          <w:u w:val="none" w:color="auto"/>
          <w:lang w:eastAsia="zh-CN"/>
        </w:rPr>
        <w:t>。</w:t>
      </w:r>
      <w:r>
        <w:rPr>
          <w:rFonts w:hint="eastAsia" w:ascii="仿宋_GB2312" w:hAnsi="Arial" w:eastAsia="仿宋_GB2312" w:cs="Arial"/>
          <w:color w:val="auto"/>
          <w:sz w:val="32"/>
          <w:szCs w:val="32"/>
          <w:highlight w:val="none"/>
          <w:u w:val="none" w:color="auto"/>
        </w:rPr>
        <w:t>认真落实政府对节能环保产品优先采购和强制采购制度，执行节能产品、环境标志产品品目清单管理制度，在技术</w:t>
      </w:r>
      <w:r>
        <w:rPr>
          <w:rFonts w:hint="eastAsia" w:ascii="仿宋_GB2312" w:hAnsi="Arial" w:eastAsia="仿宋_GB2312" w:cs="Arial"/>
          <w:color w:val="auto"/>
          <w:sz w:val="32"/>
          <w:szCs w:val="32"/>
          <w:highlight w:val="none"/>
          <w:u w:val="none" w:color="auto"/>
          <w:lang w:eastAsia="zh-CN"/>
        </w:rPr>
        <w:t>和功能</w:t>
      </w:r>
      <w:r>
        <w:rPr>
          <w:rFonts w:hint="eastAsia" w:ascii="仿宋_GB2312" w:hAnsi="Arial" w:eastAsia="仿宋_GB2312" w:cs="Arial"/>
          <w:color w:val="auto"/>
          <w:sz w:val="32"/>
          <w:szCs w:val="32"/>
          <w:highlight w:val="none"/>
          <w:u w:val="none" w:color="auto"/>
        </w:rPr>
        <w:t>等指标满足采购需求的前提下，对符合国家绿色认证标准、有利于健康及循环经济发展的产品进行优先采购</w:t>
      </w:r>
      <w:r>
        <w:rPr>
          <w:rFonts w:hint="eastAsia" w:ascii="仿宋_GB2312" w:hAnsi="Arial" w:eastAsia="仿宋_GB2312" w:cs="Arial"/>
          <w:color w:val="auto"/>
          <w:sz w:val="32"/>
          <w:szCs w:val="32"/>
          <w:highlight w:val="none"/>
          <w:u w:val="none" w:color="auto"/>
          <w:lang w:eastAsia="zh-CN"/>
        </w:rPr>
        <w:t>。</w:t>
      </w:r>
      <w:r>
        <w:rPr>
          <w:rFonts w:hint="eastAsia" w:ascii="仿宋_GB2312" w:hAnsi="仿宋_GB2312" w:eastAsia="仿宋_GB2312" w:cs="仿宋_GB2312"/>
          <w:i w:val="0"/>
          <w:iCs w:val="0"/>
          <w:caps w:val="0"/>
          <w:color w:val="auto"/>
          <w:spacing w:val="0"/>
          <w:sz w:val="32"/>
          <w:szCs w:val="32"/>
          <w:u w:val="none" w:color="auto"/>
          <w:shd w:val="clear" w:color="auto" w:fill="FFFFFF"/>
          <w:lang w:val="en-US" w:eastAsia="zh-CN"/>
        </w:rPr>
        <w:t>鼓励开展合同能源管理服务项目采购，促进节能低碳产品应用。</w:t>
      </w:r>
      <w:r>
        <w:rPr>
          <w:rFonts w:hint="eastAsia" w:ascii="仿宋_GB2312" w:hAnsi="仿宋_GB2312" w:eastAsia="仿宋_GB2312" w:cs="仿宋_GB2312"/>
          <w:snapToGrid/>
          <w:color w:val="auto"/>
          <w:kern w:val="21"/>
          <w:sz w:val="32"/>
          <w:szCs w:val="32"/>
          <w:highlight w:val="none"/>
          <w:u w:val="none" w:color="auto"/>
          <w:lang w:val="en-US" w:eastAsia="zh-CN"/>
        </w:rPr>
        <w:t>做好新能源公务用车购置政策指导和经费审核工作，各职能部门优先采购新能源为动力的特种专业技术车，新增或更新的公务用车原则上全部使用新能源汽车。</w:t>
      </w:r>
    </w:p>
    <w:p>
      <w:pPr>
        <w:spacing w:beforeLines="0" w:afterLines="0" w:line="579" w:lineRule="exact"/>
        <w:ind w:firstLine="640" w:firstLineChars="200"/>
        <w:rPr>
          <w:rFonts w:hint="eastAsia"/>
          <w:u w:val="none" w:color="auto"/>
          <w:lang w:val="en-US" w:eastAsia="zh-CN"/>
        </w:rPr>
      </w:pPr>
      <w:r>
        <w:rPr>
          <w:rFonts w:hint="eastAsia" w:ascii="楷体_GB2312" w:hAnsi="楷体_GB2312" w:eastAsia="楷体_GB2312" w:cs="楷体_GB2312"/>
          <w:i w:val="0"/>
          <w:iCs w:val="0"/>
          <w:caps w:val="0"/>
          <w:color w:val="auto"/>
          <w:spacing w:val="0"/>
          <w:sz w:val="32"/>
          <w:szCs w:val="32"/>
          <w:u w:val="none" w:color="auto"/>
          <w:shd w:val="clear" w:color="auto" w:fill="FFFFFF"/>
          <w:lang w:val="en-US" w:eastAsia="zh-CN"/>
        </w:rPr>
        <w:t>（六）落实绿色税收政策。</w:t>
      </w:r>
      <w:r>
        <w:rPr>
          <w:rFonts w:hint="eastAsia" w:ascii="仿宋_GB2312" w:hAnsi="仿宋_GB2312" w:eastAsia="仿宋_GB2312" w:cs="仿宋_GB2312"/>
          <w:i w:val="0"/>
          <w:iCs w:val="0"/>
          <w:caps w:val="0"/>
          <w:color w:val="auto"/>
          <w:spacing w:val="0"/>
          <w:sz w:val="32"/>
          <w:szCs w:val="32"/>
          <w:u w:val="none" w:color="auto"/>
          <w:shd w:val="clear" w:color="auto" w:fill="FFFFFF"/>
        </w:rPr>
        <w:t>落实环境保护税、资源税、消费税、车船税、车辆购置税、增值税、企业所得税等税收政策。落实支持节能环保和绿色发展相关税收优惠政策,充分发挥税收对绿色低碳发展促进作用。</w:t>
      </w:r>
      <w:r>
        <w:rPr>
          <w:rFonts w:hint="eastAsia" w:ascii="仿宋_GB2312" w:hAnsi="仿宋_GB2312" w:eastAsia="仿宋_GB2312" w:cs="仿宋_GB2312"/>
          <w:i w:val="0"/>
          <w:caps w:val="0"/>
          <w:color w:val="auto"/>
          <w:spacing w:val="0"/>
          <w:kern w:val="2"/>
          <w:sz w:val="32"/>
          <w:szCs w:val="32"/>
          <w:highlight w:val="none"/>
          <w:u w:val="none" w:color="auto"/>
          <w:shd w:val="clear" w:color="auto" w:fill="auto"/>
          <w:lang w:val="en-US" w:eastAsia="zh-CN" w:bidi="ar"/>
        </w:rPr>
        <w:t>加强促进绿色低碳发展的税收政策研究，有效应对碳边境机制可能带来的市场压力。</w:t>
      </w:r>
    </w:p>
    <w:p>
      <w:pPr>
        <w:keepNext w:val="0"/>
        <w:keepLines w:val="0"/>
        <w:pageBreakBefore w:val="0"/>
        <w:numPr>
          <w:ilvl w:val="0"/>
          <w:numId w:val="0"/>
        </w:numPr>
        <w:kinsoku/>
        <w:wordWrap/>
        <w:topLinePunct w:val="0"/>
        <w:bidi w:val="0"/>
        <w:adjustRightInd/>
        <w:snapToGrid/>
        <w:spacing w:beforeLines="0" w:afterLines="0" w:line="579" w:lineRule="exact"/>
        <w:ind w:firstLine="640" w:firstLineChars="200"/>
        <w:rPr>
          <w:rFonts w:hint="eastAsia" w:ascii="黑体" w:hAnsi="黑体" w:eastAsia="黑体" w:cs="黑体"/>
          <w:i w:val="0"/>
          <w:iCs w:val="0"/>
          <w:caps w:val="0"/>
          <w:color w:val="auto"/>
          <w:spacing w:val="0"/>
          <w:sz w:val="32"/>
          <w:szCs w:val="32"/>
          <w:u w:val="none" w:color="auto"/>
          <w:shd w:val="clear" w:color="auto" w:fill="FFFFFF"/>
          <w:lang w:val="en-US" w:eastAsia="zh-CN"/>
        </w:rPr>
      </w:pPr>
      <w:r>
        <w:rPr>
          <w:rFonts w:hint="eastAsia" w:ascii="黑体" w:hAnsi="黑体" w:eastAsia="黑体" w:cs="黑体"/>
          <w:i w:val="0"/>
          <w:iCs w:val="0"/>
          <w:caps w:val="0"/>
          <w:color w:val="auto"/>
          <w:spacing w:val="0"/>
          <w:sz w:val="32"/>
          <w:szCs w:val="32"/>
          <w:u w:val="none" w:color="auto"/>
          <w:shd w:val="clear" w:color="auto" w:fill="FFFFFF"/>
          <w:lang w:val="en-US" w:eastAsia="zh-CN"/>
        </w:rPr>
        <w:t>四、保障措施</w:t>
      </w:r>
    </w:p>
    <w:p>
      <w:pPr>
        <w:pStyle w:val="9"/>
        <w:keepNext w:val="0"/>
        <w:keepLines w:val="0"/>
        <w:pageBreakBefore w:val="0"/>
        <w:numPr>
          <w:ilvl w:val="0"/>
          <w:numId w:val="0"/>
        </w:numPr>
        <w:kinsoku/>
        <w:wordWrap/>
        <w:topLinePunct w:val="0"/>
        <w:bidi w:val="0"/>
        <w:adjustRightInd/>
        <w:snapToGrid/>
        <w:spacing w:beforeLines="0" w:after="0" w:afterLines="0" w:line="579" w:lineRule="exact"/>
        <w:ind w:firstLine="640" w:firstLineChars="200"/>
        <w:rPr>
          <w:rFonts w:hint="eastAsia" w:ascii="仿宋_GB2312" w:hAnsi="仿宋_GB2312" w:eastAsia="仿宋_GB2312" w:cs="仿宋_GB2312"/>
          <w:sz w:val="32"/>
          <w:szCs w:val="32"/>
          <w:u w:val="none" w:color="auto"/>
          <w:lang w:val="en-US" w:eastAsia="zh-CN"/>
        </w:rPr>
      </w:pPr>
      <w:r>
        <w:rPr>
          <w:rFonts w:hint="eastAsia" w:ascii="楷体_GB2312" w:hAnsi="楷体_GB2312" w:eastAsia="楷体_GB2312" w:cs="楷体_GB2312"/>
          <w:color w:val="auto"/>
          <w:sz w:val="32"/>
          <w:szCs w:val="32"/>
          <w:u w:val="none" w:color="auto"/>
          <w:shd w:val="clear" w:color="auto" w:fill="FFFFFF"/>
          <w:lang w:val="en-US" w:eastAsia="zh-CN"/>
        </w:rPr>
        <w:t>（一）加强组织落实。</w:t>
      </w:r>
      <w:r>
        <w:rPr>
          <w:rFonts w:hint="eastAsia" w:ascii="仿宋_GB2312" w:hAnsi="仿宋_GB2312" w:eastAsia="仿宋_GB2312" w:cs="仿宋_GB2312"/>
          <w:b w:val="0"/>
          <w:bCs w:val="0"/>
          <w:sz w:val="32"/>
          <w:szCs w:val="32"/>
          <w:u w:val="none" w:color="auto"/>
          <w:lang w:val="en-US" w:eastAsia="zh-CN"/>
        </w:rPr>
        <w:t>市区财政部门</w:t>
      </w:r>
      <w:r>
        <w:rPr>
          <w:rFonts w:hint="eastAsia" w:hAnsi="仿宋_GB2312" w:cs="仿宋_GB2312"/>
          <w:b w:val="0"/>
          <w:bCs w:val="0"/>
          <w:sz w:val="32"/>
          <w:szCs w:val="32"/>
          <w:u w:val="none" w:color="auto"/>
          <w:lang w:val="en-US" w:eastAsia="zh-CN"/>
        </w:rPr>
        <w:t>、市各有关单位</w:t>
      </w:r>
      <w:r>
        <w:rPr>
          <w:rFonts w:hint="eastAsia" w:ascii="仿宋_GB2312" w:hAnsi="仿宋_GB2312" w:eastAsia="仿宋_GB2312" w:cs="仿宋_GB2312"/>
          <w:b w:val="0"/>
          <w:bCs w:val="0"/>
          <w:sz w:val="32"/>
          <w:szCs w:val="32"/>
          <w:u w:val="none" w:color="auto"/>
          <w:lang w:val="en-US" w:eastAsia="zh-CN"/>
        </w:rPr>
        <w:t>要</w:t>
      </w:r>
      <w:r>
        <w:rPr>
          <w:rFonts w:hint="eastAsia" w:hAnsi="仿宋_GB2312" w:cs="仿宋_GB2312"/>
          <w:b w:val="0"/>
          <w:bCs w:val="0"/>
          <w:sz w:val="32"/>
          <w:szCs w:val="32"/>
          <w:u w:val="none" w:color="auto"/>
          <w:lang w:val="en-US" w:eastAsia="zh-CN"/>
        </w:rPr>
        <w:t>切实提高政治站位，</w:t>
      </w:r>
      <w:r>
        <w:rPr>
          <w:rFonts w:hint="eastAsia" w:ascii="仿宋_GB2312" w:hAnsi="仿宋_GB2312" w:eastAsia="仿宋_GB2312" w:cs="仿宋_GB2312"/>
          <w:sz w:val="32"/>
          <w:szCs w:val="32"/>
          <w:u w:val="none" w:color="auto"/>
          <w:lang w:val="en-US" w:eastAsia="zh-CN"/>
        </w:rPr>
        <w:t>紧紧围绕市委市政府关于碳达峰碳中和工作部署，</w:t>
      </w:r>
      <w:r>
        <w:rPr>
          <w:rFonts w:hint="eastAsia" w:hAnsi="仿宋_GB2312" w:cs="仿宋_GB2312"/>
          <w:b w:val="0"/>
          <w:bCs w:val="0"/>
          <w:sz w:val="32"/>
          <w:szCs w:val="32"/>
          <w:u w:val="none" w:color="auto"/>
          <w:lang w:val="en-US" w:eastAsia="zh-CN"/>
        </w:rPr>
        <w:t>以闯创干的精神面貌为我市以先行示范标准实现碳达峰碳中和目标提供坚实的财政保障。各区级财政部门要结合工作实际，研究制定支持碳达峰碳中和的实施方案，</w:t>
      </w:r>
      <w:r>
        <w:rPr>
          <w:rFonts w:hint="eastAsia" w:hAnsi="仿宋_GB2312" w:cs="仿宋_GB2312"/>
          <w:sz w:val="32"/>
          <w:szCs w:val="32"/>
          <w:u w:val="none" w:color="auto"/>
          <w:lang w:val="en-US" w:eastAsia="zh-CN"/>
        </w:rPr>
        <w:t>细化工作任务，明确责任分工和时间表</w:t>
      </w:r>
      <w:r>
        <w:rPr>
          <w:rFonts w:hint="eastAsia" w:ascii="仿宋_GB2312" w:hAnsi="仿宋_GB2312" w:eastAsia="仿宋_GB2312" w:cs="仿宋_GB2312"/>
          <w:sz w:val="32"/>
          <w:szCs w:val="32"/>
          <w:u w:val="none" w:color="auto"/>
          <w:lang w:val="en-US" w:eastAsia="zh-CN"/>
        </w:rPr>
        <w:t>。</w:t>
      </w:r>
    </w:p>
    <w:p>
      <w:pPr>
        <w:pStyle w:val="9"/>
        <w:keepNext w:val="0"/>
        <w:keepLines w:val="0"/>
        <w:pageBreakBefore w:val="0"/>
        <w:numPr>
          <w:ilvl w:val="0"/>
          <w:numId w:val="0"/>
        </w:numPr>
        <w:kinsoku/>
        <w:wordWrap/>
        <w:topLinePunct w:val="0"/>
        <w:bidi w:val="0"/>
        <w:adjustRightInd/>
        <w:snapToGrid/>
        <w:spacing w:beforeLines="0" w:after="0" w:afterLines="0" w:line="579" w:lineRule="exact"/>
        <w:ind w:firstLine="640" w:firstLineChars="200"/>
        <w:rPr>
          <w:rFonts w:hint="eastAsia" w:ascii="仿宋_GB2312" w:hAnsi="仿宋_GB2312" w:eastAsia="仿宋_GB2312" w:cs="仿宋_GB2312"/>
          <w:i w:val="0"/>
          <w:iCs w:val="0"/>
          <w:caps w:val="0"/>
          <w:color w:val="auto"/>
          <w:spacing w:val="0"/>
          <w:sz w:val="32"/>
          <w:szCs w:val="32"/>
          <w:u w:val="none" w:color="auto"/>
          <w:shd w:val="clear" w:color="auto" w:fill="FFFFFF"/>
          <w:lang w:val="en-US" w:eastAsia="zh-CN"/>
        </w:rPr>
      </w:pPr>
      <w:r>
        <w:rPr>
          <w:rFonts w:hint="eastAsia" w:ascii="楷体_GB2312" w:hAnsi="楷体_GB2312" w:eastAsia="楷体_GB2312" w:cs="楷体_GB2312"/>
          <w:color w:val="auto"/>
          <w:sz w:val="32"/>
          <w:szCs w:val="32"/>
          <w:u w:val="none" w:color="auto"/>
          <w:shd w:val="clear" w:color="auto" w:fill="FFFFFF"/>
          <w:lang w:val="en-US" w:eastAsia="zh-CN"/>
        </w:rPr>
        <w:t>（二）强化预算管理。</w:t>
      </w:r>
      <w:r>
        <w:rPr>
          <w:rFonts w:hint="eastAsia" w:hAnsi="仿宋_GB2312" w:cs="仿宋_GB2312"/>
          <w:sz w:val="32"/>
          <w:szCs w:val="32"/>
          <w:u w:val="none" w:color="auto"/>
          <w:lang w:val="en-US" w:eastAsia="zh-CN"/>
        </w:rPr>
        <w:t>市各有关单位要高度重视发挥财政资金作用，编细编实资金预算、管好用好财政资金。坚持资金投入和政策规划、中心任务相衔接，科学审核、合理保障碳达峰碳中和相关项目经费预算，加快预算执行进度。推动</w:t>
      </w:r>
      <w:r>
        <w:rPr>
          <w:rFonts w:hint="eastAsia" w:ascii="仿宋_GB2312" w:hAnsi="仿宋_GB2312" w:eastAsia="仿宋_GB2312" w:cs="仿宋_GB2312"/>
          <w:sz w:val="32"/>
          <w:szCs w:val="32"/>
          <w:u w:val="none" w:color="auto"/>
          <w:lang w:val="en-US" w:eastAsia="zh-CN"/>
        </w:rPr>
        <w:t>实现碳达峰碳中和领域财政资金预算绩效管理全覆盖，</w:t>
      </w:r>
      <w:r>
        <w:rPr>
          <w:rFonts w:hint="eastAsia" w:hAnsi="仿宋_GB2312" w:cs="仿宋_GB2312"/>
          <w:i w:val="0"/>
          <w:iCs w:val="0"/>
          <w:caps w:val="0"/>
          <w:color w:val="auto"/>
          <w:spacing w:val="0"/>
          <w:sz w:val="32"/>
          <w:szCs w:val="32"/>
          <w:u w:val="none" w:color="auto"/>
          <w:shd w:val="clear" w:color="auto" w:fill="FFFFFF"/>
          <w:lang w:val="en-US" w:eastAsia="zh-CN"/>
        </w:rPr>
        <w:t>进一步健全</w:t>
      </w:r>
      <w:r>
        <w:rPr>
          <w:rFonts w:hint="eastAsia" w:ascii="仿宋_GB2312" w:hAnsi="仿宋_GB2312" w:eastAsia="仿宋_GB2312" w:cs="仿宋_GB2312"/>
          <w:i w:val="0"/>
          <w:iCs w:val="0"/>
          <w:caps w:val="0"/>
          <w:color w:val="auto"/>
          <w:spacing w:val="0"/>
          <w:sz w:val="32"/>
          <w:szCs w:val="32"/>
          <w:u w:val="none" w:color="auto"/>
          <w:shd w:val="clear" w:color="auto" w:fill="FFFFFF"/>
          <w:lang w:val="en-US" w:eastAsia="zh-CN"/>
        </w:rPr>
        <w:t>碳达峰碳中和相关领域支出标准</w:t>
      </w:r>
      <w:r>
        <w:rPr>
          <w:rFonts w:hint="eastAsia" w:hAnsi="仿宋_GB2312" w:cs="仿宋_GB2312"/>
          <w:i w:val="0"/>
          <w:iCs w:val="0"/>
          <w:caps w:val="0"/>
          <w:color w:val="auto"/>
          <w:spacing w:val="0"/>
          <w:sz w:val="32"/>
          <w:szCs w:val="32"/>
          <w:u w:val="none" w:color="auto"/>
          <w:shd w:val="clear" w:color="auto" w:fill="FFFFFF"/>
          <w:lang w:val="en-US" w:eastAsia="zh-CN"/>
        </w:rPr>
        <w:t>体系，督促落实政府绿色采购政策，</w:t>
      </w:r>
      <w:r>
        <w:rPr>
          <w:rFonts w:hint="eastAsia" w:hAnsi="仿宋_GB2312" w:cs="仿宋_GB2312"/>
          <w:sz w:val="32"/>
          <w:szCs w:val="32"/>
          <w:u w:val="none" w:color="auto"/>
          <w:lang w:val="en-US" w:eastAsia="zh-CN"/>
        </w:rPr>
        <w:t>强化相关领域财政监督。</w:t>
      </w:r>
    </w:p>
    <w:p>
      <w:pPr>
        <w:pStyle w:val="9"/>
        <w:keepNext w:val="0"/>
        <w:keepLines w:val="0"/>
        <w:pageBreakBefore w:val="0"/>
        <w:numPr>
          <w:ilvl w:val="0"/>
          <w:numId w:val="0"/>
        </w:numPr>
        <w:kinsoku/>
        <w:wordWrap/>
        <w:topLinePunct w:val="0"/>
        <w:bidi w:val="0"/>
        <w:adjustRightInd/>
        <w:snapToGrid/>
        <w:spacing w:beforeLines="0" w:after="0" w:afterLines="0" w:line="579" w:lineRule="exact"/>
        <w:ind w:firstLine="640" w:firstLineChars="200"/>
        <w:rPr>
          <w:rFonts w:hint="eastAsia" w:hAnsi="仿宋_GB2312" w:cs="仿宋_GB2312"/>
          <w:sz w:val="32"/>
          <w:szCs w:val="32"/>
          <w:u w:val="none" w:color="auto"/>
          <w:lang w:val="en-US" w:eastAsia="zh-CN"/>
        </w:rPr>
      </w:pPr>
      <w:r>
        <w:rPr>
          <w:rFonts w:hint="eastAsia" w:ascii="楷体_GB2312" w:hAnsi="楷体_GB2312" w:eastAsia="楷体_GB2312" w:cs="楷体_GB2312"/>
          <w:color w:val="auto"/>
          <w:sz w:val="32"/>
          <w:szCs w:val="32"/>
          <w:u w:val="none" w:color="auto"/>
          <w:shd w:val="clear" w:color="auto" w:fill="FFFFFF"/>
          <w:lang w:val="en-US" w:eastAsia="zh-CN"/>
        </w:rPr>
        <w:t>（三）加大教育宣传力度。</w:t>
      </w:r>
      <w:r>
        <w:rPr>
          <w:rFonts w:hint="eastAsia" w:hAnsi="仿宋_GB2312" w:cs="仿宋_GB2312"/>
          <w:sz w:val="32"/>
          <w:szCs w:val="32"/>
          <w:u w:val="none" w:color="auto"/>
          <w:lang w:val="en-US" w:eastAsia="zh-CN"/>
        </w:rPr>
        <w:t>将碳达峰碳中和有关内容纳入财政、财务干部教育培训体系，相关</w:t>
      </w:r>
      <w:r>
        <w:rPr>
          <w:rFonts w:hint="eastAsia" w:ascii="仿宋_GB2312" w:hAnsi="仿宋_GB2312" w:eastAsia="仿宋_GB2312" w:cs="仿宋_GB2312"/>
          <w:sz w:val="32"/>
          <w:szCs w:val="32"/>
          <w:u w:val="none" w:color="auto"/>
          <w:lang w:val="en-US" w:eastAsia="zh-CN"/>
        </w:rPr>
        <w:t>干部要</w:t>
      </w:r>
      <w:r>
        <w:rPr>
          <w:rFonts w:hint="eastAsia" w:hAnsi="仿宋_GB2312" w:cs="仿宋_GB2312"/>
          <w:sz w:val="32"/>
          <w:szCs w:val="32"/>
          <w:u w:val="none" w:color="auto"/>
          <w:lang w:val="en-US" w:eastAsia="zh-CN"/>
        </w:rPr>
        <w:t>自觉加强碳达峰碳中和相关政策和专业知识的学习研究，切实增强做好财政支持碳达峰碳中和工作的本领。</w:t>
      </w:r>
      <w:r>
        <w:rPr>
          <w:rFonts w:hint="eastAsia" w:hAnsi="仿宋_GB2312" w:cs="仿宋_GB2312"/>
          <w:i w:val="0"/>
          <w:iCs w:val="0"/>
          <w:caps w:val="0"/>
          <w:color w:val="auto"/>
          <w:spacing w:val="0"/>
          <w:sz w:val="32"/>
          <w:szCs w:val="32"/>
          <w:u w:val="none" w:color="auto"/>
          <w:shd w:val="clear" w:color="auto" w:fill="FFFFFF"/>
          <w:lang w:val="en-US" w:eastAsia="zh-CN"/>
        </w:rPr>
        <w:t>积极</w:t>
      </w:r>
      <w:r>
        <w:rPr>
          <w:rFonts w:hint="eastAsia" w:ascii="仿宋_GB2312" w:hAnsi="仿宋_GB2312" w:eastAsia="仿宋_GB2312" w:cs="仿宋_GB2312"/>
          <w:i w:val="0"/>
          <w:iCs w:val="0"/>
          <w:caps w:val="0"/>
          <w:color w:val="auto"/>
          <w:spacing w:val="0"/>
          <w:sz w:val="32"/>
          <w:szCs w:val="32"/>
          <w:u w:val="none" w:color="auto"/>
          <w:shd w:val="clear" w:color="auto" w:fill="FFFFFF"/>
          <w:lang w:val="en-US" w:eastAsia="zh-CN"/>
        </w:rPr>
        <w:t>开展生态文明建设、碳达峰碳中和科普宣传，促进绿色发展理念深入人心</w:t>
      </w:r>
      <w:r>
        <w:rPr>
          <w:rFonts w:hint="eastAsia" w:hAnsi="仿宋_GB2312" w:cs="仿宋_GB2312"/>
          <w:i w:val="0"/>
          <w:iCs w:val="0"/>
          <w:caps w:val="0"/>
          <w:color w:val="auto"/>
          <w:spacing w:val="0"/>
          <w:sz w:val="32"/>
          <w:szCs w:val="32"/>
          <w:u w:val="none" w:color="auto"/>
          <w:shd w:val="clear" w:color="auto" w:fill="FFFFFF"/>
          <w:lang w:val="en-US" w:eastAsia="zh-CN"/>
        </w:rPr>
        <w:t>，</w:t>
      </w:r>
      <w:r>
        <w:rPr>
          <w:rFonts w:hint="eastAsia" w:hAnsi="仿宋_GB2312" w:cs="仿宋_GB2312"/>
          <w:sz w:val="32"/>
          <w:szCs w:val="32"/>
          <w:u w:val="none" w:color="auto"/>
          <w:lang w:val="en-US" w:eastAsia="zh-CN"/>
        </w:rPr>
        <w:t>形成绿色低碳发展的良好氛围。</w:t>
      </w:r>
    </w:p>
    <w:p>
      <w:pPr>
        <w:pStyle w:val="9"/>
        <w:keepNext w:val="0"/>
        <w:keepLines w:val="0"/>
        <w:pageBreakBefore w:val="0"/>
        <w:numPr>
          <w:ilvl w:val="0"/>
          <w:numId w:val="0"/>
        </w:numPr>
        <w:kinsoku/>
        <w:wordWrap/>
        <w:topLinePunct w:val="0"/>
        <w:bidi w:val="0"/>
        <w:adjustRightInd/>
        <w:snapToGrid/>
        <w:spacing w:beforeLines="0" w:after="0" w:afterLines="0" w:line="579" w:lineRule="exact"/>
        <w:ind w:firstLine="640" w:firstLineChars="200"/>
        <w:rPr>
          <w:rFonts w:hint="eastAsia" w:hAnsi="仿宋_GB2312" w:cs="仿宋_GB2312"/>
          <w:sz w:val="32"/>
          <w:szCs w:val="32"/>
          <w:u w:val="none" w:color="auto"/>
          <w:lang w:val="en-US" w:eastAsia="zh-CN"/>
        </w:rPr>
      </w:pPr>
    </w:p>
    <w:p>
      <w:pPr>
        <w:pStyle w:val="9"/>
        <w:keepNext w:val="0"/>
        <w:keepLines w:val="0"/>
        <w:pageBreakBefore w:val="0"/>
        <w:numPr>
          <w:ilvl w:val="0"/>
          <w:numId w:val="0"/>
        </w:numPr>
        <w:kinsoku/>
        <w:wordWrap/>
        <w:topLinePunct w:val="0"/>
        <w:bidi w:val="0"/>
        <w:adjustRightInd/>
        <w:snapToGrid/>
        <w:spacing w:beforeLines="0" w:after="0" w:afterLines="0" w:line="579" w:lineRule="exact"/>
        <w:ind w:firstLine="640" w:firstLineChars="200"/>
        <w:rPr>
          <w:rFonts w:hint="eastAsia" w:hAnsi="仿宋_GB2312" w:cs="仿宋_GB2312"/>
          <w:sz w:val="32"/>
          <w:szCs w:val="32"/>
          <w:u w:val="none" w:color="auto"/>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altName w:val="楷体"/>
    <w:panose1 w:val="02010609030101010101"/>
    <w:charset w:val="00"/>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2BE7AC7F"/>
    <w:rsid w:val="4A194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unhideWhenUsed/>
    <w:qFormat/>
    <w:uiPriority w:val="9"/>
    <w:pPr>
      <w:keepNext/>
      <w:keepLines/>
      <w:spacing w:before="260" w:after="260" w:line="413" w:lineRule="auto"/>
      <w:outlineLvl w:val="2"/>
    </w:pPr>
    <w:rPr>
      <w:b/>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rPr>
  </w:style>
  <w:style w:type="paragraph" w:styleId="4">
    <w:name w:val="footer"/>
    <w:basedOn w:val="1"/>
    <w:qFormat/>
    <w:uiPriority w:val="0"/>
    <w:pPr>
      <w:tabs>
        <w:tab w:val="center" w:pos="4153"/>
        <w:tab w:val="right" w:pos="8306"/>
      </w:tabs>
      <w:snapToGrid w:val="0"/>
      <w:jc w:val="left"/>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9">
    <w:name w:val="Body Text First Indent 21"/>
    <w:basedOn w:val="10"/>
    <w:qFormat/>
    <w:uiPriority w:val="0"/>
    <w:pPr>
      <w:widowControl w:val="0"/>
      <w:spacing w:after="120" w:afterLines="0" w:line="588" w:lineRule="exact"/>
      <w:ind w:left="200" w:leftChars="200" w:firstLine="420" w:firstLineChars="200"/>
      <w:jc w:val="both"/>
      <w:textAlignment w:val="center"/>
    </w:pPr>
    <w:rPr>
      <w:rFonts w:ascii="仿宋_GB2312" w:hAnsi="Times New Roman" w:eastAsia="仿宋_GB2312" w:cs="仿宋_GB2312"/>
      <w:kern w:val="2"/>
      <w:sz w:val="32"/>
      <w:szCs w:val="32"/>
      <w:lang w:val="en-US" w:eastAsia="zh-CN" w:bidi="ar-SA"/>
    </w:rPr>
  </w:style>
  <w:style w:type="paragraph" w:customStyle="1" w:styleId="10">
    <w:name w:val="Body Text Indent1"/>
    <w:basedOn w:val="1"/>
    <w:qFormat/>
    <w:uiPriority w:val="0"/>
    <w:pPr>
      <w:spacing w:line="150" w:lineRule="atLeast"/>
      <w:ind w:firstLine="420"/>
      <w:textAlignment w:val="baseline"/>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fengna</cp:lastModifiedBy>
  <dcterms:modified xsi:type="dcterms:W3CDTF">2023-03-10T11:19:49Z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