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spacing w:line="360" w:lineRule="auto"/>
        <w:jc w:val="both"/>
      </w:pPr>
    </w:p>
    <w:p>
      <w:pPr>
        <w:spacing w:before="156" w:beforeLines="50" w:after="156" w:afterLines="50" w:line="360" w:lineRule="auto"/>
        <w:jc w:val="both"/>
        <w:outlineLvl w:val="0"/>
        <w:rPr>
          <w:rFonts w:ascii="楷体" w:hAnsi="楷体" w:eastAsia="楷体"/>
          <w:b/>
          <w:sz w:val="48"/>
          <w:szCs w:val="48"/>
        </w:rPr>
      </w:pPr>
    </w:p>
    <w:p>
      <w:pPr>
        <w:spacing w:before="156" w:beforeLines="50" w:after="156" w:afterLines="50" w:line="360" w:lineRule="auto"/>
        <w:jc w:val="center"/>
        <w:outlineLvl w:val="0"/>
        <w:rPr>
          <w:rFonts w:ascii="楷体" w:hAnsi="楷体" w:eastAsia="楷体"/>
          <w:b/>
          <w:sz w:val="52"/>
          <w:szCs w:val="52"/>
        </w:rPr>
      </w:pPr>
      <w:r>
        <w:rPr>
          <w:rFonts w:ascii="华文中宋" w:hAnsi="华文中宋" w:eastAsia="华文中宋" w:cs="Times New Roman"/>
          <w:b/>
          <w:bCs/>
          <w:sz w:val="40"/>
          <w:szCs w:val="40"/>
        </w:rPr>
        <w:t>关于《深圳市免予办理强制性产品认证便捷通道操作办法（试行）》的风险评估报告</w:t>
      </w:r>
    </w:p>
    <w:sdt>
      <w:sdtPr>
        <w:rPr>
          <w:rFonts w:ascii="宋体" w:hAnsi="宋体" w:eastAsia="宋体"/>
        </w:rPr>
        <w:id w:val="147456928"/>
        <w15:color w:val="DBDBDB"/>
        <w:docPartObj>
          <w:docPartGallery w:val="Table of Contents"/>
          <w:docPartUnique/>
        </w:docPartObj>
      </w:sdtPr>
      <w:sdtEndPr>
        <w:rPr>
          <w:rFonts w:ascii="Arial" w:hAnsi="Arial" w:eastAsia="Arial"/>
        </w:rPr>
      </w:sdtEndPr>
      <w:sdtContent>
        <w:p>
          <w:pPr>
            <w:jc w:val="center"/>
            <w:rPr>
              <w:rFonts w:ascii="宋体" w:hAnsi="宋体" w:eastAsia="宋体"/>
            </w:rPr>
          </w:pPr>
        </w:p>
        <w:p>
          <w:pPr>
            <w:rPr>
              <w:rFonts w:ascii="宋体" w:hAnsi="宋体" w:eastAsia="宋体"/>
            </w:rPr>
          </w:pPr>
          <w:r>
            <w:rPr>
              <w:rFonts w:ascii="宋体" w:hAnsi="宋体" w:eastAsia="宋体"/>
            </w:rPr>
            <w:br w:type="page"/>
          </w:r>
        </w:p>
        <w:p>
          <w:pPr>
            <w:jc w:val="center"/>
            <w:rPr>
              <w:rFonts w:ascii="宋体" w:hAnsi="宋体" w:eastAsia="宋体"/>
            </w:rPr>
          </w:pPr>
        </w:p>
        <w:p>
          <w:pPr>
            <w:jc w:val="center"/>
            <w:rPr>
              <w:rFonts w:ascii="宋体" w:hAnsi="宋体" w:eastAsia="宋体"/>
            </w:rPr>
          </w:pP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目  录</w:t>
          </w:r>
        </w:p>
        <w:p>
          <w:pPr>
            <w:pStyle w:val="11"/>
            <w:tabs>
              <w:tab w:val="right" w:leader="dot" w:pos="8306"/>
            </w:tabs>
            <w:spacing w:line="360" w:lineRule="auto"/>
          </w:pPr>
          <w:r>
            <w:rPr>
              <w:sz w:val="24"/>
              <w:szCs w:val="24"/>
            </w:rPr>
            <w:fldChar w:fldCharType="begin"/>
          </w:r>
          <w:r>
            <w:rPr>
              <w:sz w:val="24"/>
              <w:szCs w:val="24"/>
            </w:rPr>
            <w:instrText xml:space="preserve">TOC \o "1-3" \h \u </w:instrText>
          </w:r>
          <w:r>
            <w:rPr>
              <w:sz w:val="24"/>
              <w:szCs w:val="24"/>
            </w:rPr>
            <w:fldChar w:fldCharType="separate"/>
          </w:r>
          <w:r>
            <w:fldChar w:fldCharType="begin"/>
          </w:r>
          <w:r>
            <w:instrText xml:space="preserve"> HYPERLINK \l "_Toc6107" </w:instrText>
          </w:r>
          <w:r>
            <w:fldChar w:fldCharType="separate"/>
          </w:r>
          <w:r>
            <w:rPr>
              <w:rFonts w:hint="eastAsia" w:ascii="黑体" w:hAnsi="黑体" w:eastAsia="黑体" w:cs="黑体"/>
              <w:bCs/>
              <w:szCs w:val="32"/>
            </w:rPr>
            <w:t>第一部分  风险评估事项概述</w:t>
          </w:r>
          <w:r>
            <w:tab/>
          </w:r>
          <w:r>
            <w:fldChar w:fldCharType="begin"/>
          </w:r>
          <w:r>
            <w:instrText xml:space="preserve"> PAGEREF _Toc6107 \h </w:instrText>
          </w:r>
          <w:r>
            <w:fldChar w:fldCharType="separate"/>
          </w:r>
          <w:r>
            <w:t>3</w:t>
          </w:r>
          <w:r>
            <w:fldChar w:fldCharType="end"/>
          </w:r>
          <w:r>
            <w:fldChar w:fldCharType="end"/>
          </w:r>
        </w:p>
        <w:p>
          <w:pPr>
            <w:pStyle w:val="13"/>
            <w:tabs>
              <w:tab w:val="right" w:leader="dot" w:pos="8306"/>
            </w:tabs>
            <w:spacing w:line="360" w:lineRule="auto"/>
          </w:pPr>
          <w:r>
            <w:fldChar w:fldCharType="begin"/>
          </w:r>
          <w:r>
            <w:instrText xml:space="preserve"> HYPERLINK \l "_Toc1291" </w:instrText>
          </w:r>
          <w:r>
            <w:fldChar w:fldCharType="separate"/>
          </w:r>
          <w:r>
            <w:rPr>
              <w:rFonts w:hint="eastAsia" w:ascii="黑体" w:hAnsi="黑体" w:eastAsia="黑体" w:cs="黑体"/>
              <w:szCs w:val="32"/>
            </w:rPr>
            <w:t>一、风险评估事项</w:t>
          </w:r>
          <w:r>
            <w:tab/>
          </w:r>
          <w:r>
            <w:fldChar w:fldCharType="begin"/>
          </w:r>
          <w:r>
            <w:instrText xml:space="preserve"> PAGEREF _Toc1291 \h </w:instrText>
          </w:r>
          <w:r>
            <w:fldChar w:fldCharType="separate"/>
          </w:r>
          <w:r>
            <w:t>3</w:t>
          </w:r>
          <w:r>
            <w:fldChar w:fldCharType="end"/>
          </w:r>
          <w:r>
            <w:fldChar w:fldCharType="end"/>
          </w:r>
        </w:p>
        <w:p>
          <w:pPr>
            <w:pStyle w:val="8"/>
            <w:tabs>
              <w:tab w:val="right" w:leader="dot" w:pos="8306"/>
            </w:tabs>
            <w:spacing w:line="360" w:lineRule="auto"/>
          </w:pPr>
          <w:r>
            <w:fldChar w:fldCharType="begin"/>
          </w:r>
          <w:r>
            <w:instrText xml:space="preserve"> HYPERLINK \l "_Toc31302" </w:instrText>
          </w:r>
          <w:r>
            <w:fldChar w:fldCharType="separate"/>
          </w:r>
          <w:r>
            <w:rPr>
              <w:rFonts w:hint="eastAsia" w:ascii="楷体" w:hAnsi="楷体" w:eastAsia="楷体" w:cs="楷体"/>
              <w:szCs w:val="32"/>
            </w:rPr>
            <w:t>（一）评估事项名称</w:t>
          </w:r>
          <w:r>
            <w:tab/>
          </w:r>
          <w:r>
            <w:fldChar w:fldCharType="begin"/>
          </w:r>
          <w:r>
            <w:instrText xml:space="preserve"> PAGEREF _Toc31302 \h </w:instrText>
          </w:r>
          <w:r>
            <w:fldChar w:fldCharType="separate"/>
          </w:r>
          <w:r>
            <w:t>3</w:t>
          </w:r>
          <w:r>
            <w:fldChar w:fldCharType="end"/>
          </w:r>
          <w:r>
            <w:fldChar w:fldCharType="end"/>
          </w:r>
        </w:p>
        <w:p>
          <w:pPr>
            <w:pStyle w:val="8"/>
            <w:tabs>
              <w:tab w:val="right" w:leader="dot" w:pos="8306"/>
            </w:tabs>
            <w:spacing w:line="360" w:lineRule="auto"/>
          </w:pPr>
          <w:r>
            <w:fldChar w:fldCharType="begin"/>
          </w:r>
          <w:r>
            <w:instrText xml:space="preserve"> HYPERLINK \l "_Toc19874" </w:instrText>
          </w:r>
          <w:r>
            <w:fldChar w:fldCharType="separate"/>
          </w:r>
          <w:r>
            <w:rPr>
              <w:rFonts w:hint="eastAsia" w:ascii="楷体" w:hAnsi="楷体" w:eastAsia="楷体" w:cs="楷体"/>
              <w:szCs w:val="32"/>
            </w:rPr>
            <w:t>（二）评估事项制定背景</w:t>
          </w:r>
          <w:r>
            <w:tab/>
          </w:r>
          <w:r>
            <w:fldChar w:fldCharType="begin"/>
          </w:r>
          <w:r>
            <w:instrText xml:space="preserve"> PAGEREF _Toc19874 \h </w:instrText>
          </w:r>
          <w:r>
            <w:fldChar w:fldCharType="separate"/>
          </w:r>
          <w:r>
            <w:t>3</w:t>
          </w:r>
          <w:r>
            <w:fldChar w:fldCharType="end"/>
          </w:r>
          <w:r>
            <w:fldChar w:fldCharType="end"/>
          </w:r>
        </w:p>
        <w:p>
          <w:pPr>
            <w:pStyle w:val="8"/>
            <w:tabs>
              <w:tab w:val="right" w:leader="dot" w:pos="8306"/>
            </w:tabs>
            <w:spacing w:line="360" w:lineRule="auto"/>
          </w:pPr>
          <w:r>
            <w:fldChar w:fldCharType="begin"/>
          </w:r>
          <w:r>
            <w:instrText xml:space="preserve"> HYPERLINK \l "_Toc15895" </w:instrText>
          </w:r>
          <w:r>
            <w:fldChar w:fldCharType="separate"/>
          </w:r>
          <w:r>
            <w:rPr>
              <w:rFonts w:hint="eastAsia" w:ascii="楷体" w:hAnsi="楷体" w:eastAsia="楷体" w:cs="楷体"/>
              <w:szCs w:val="32"/>
            </w:rPr>
            <w:t>（三）评估事项制定过程</w:t>
          </w:r>
          <w:r>
            <w:tab/>
          </w:r>
          <w:r>
            <w:fldChar w:fldCharType="begin"/>
          </w:r>
          <w:r>
            <w:instrText xml:space="preserve"> PAGEREF _Toc15895 \h </w:instrText>
          </w:r>
          <w:r>
            <w:fldChar w:fldCharType="separate"/>
          </w:r>
          <w:r>
            <w:t>3</w:t>
          </w:r>
          <w:r>
            <w:fldChar w:fldCharType="end"/>
          </w:r>
          <w:r>
            <w:fldChar w:fldCharType="end"/>
          </w:r>
        </w:p>
        <w:p>
          <w:pPr>
            <w:pStyle w:val="8"/>
            <w:tabs>
              <w:tab w:val="right" w:leader="dot" w:pos="8306"/>
            </w:tabs>
            <w:spacing w:line="360" w:lineRule="auto"/>
          </w:pPr>
          <w:r>
            <w:fldChar w:fldCharType="begin"/>
          </w:r>
          <w:r>
            <w:instrText xml:space="preserve"> HYPERLINK \l "_Toc25101" </w:instrText>
          </w:r>
          <w:r>
            <w:fldChar w:fldCharType="separate"/>
          </w:r>
          <w:r>
            <w:rPr>
              <w:rFonts w:hint="eastAsia" w:ascii="楷体" w:hAnsi="楷体" w:eastAsia="楷体" w:cs="楷体"/>
              <w:szCs w:val="32"/>
            </w:rPr>
            <w:t>（四）评估事项主要内容</w:t>
          </w:r>
          <w:r>
            <w:tab/>
          </w:r>
          <w:r>
            <w:fldChar w:fldCharType="begin"/>
          </w:r>
          <w:r>
            <w:instrText xml:space="preserve"> PAGEREF _Toc25101 \h </w:instrText>
          </w:r>
          <w:r>
            <w:fldChar w:fldCharType="separate"/>
          </w:r>
          <w:r>
            <w:t>4</w:t>
          </w:r>
          <w:r>
            <w:fldChar w:fldCharType="end"/>
          </w:r>
          <w:r>
            <w:fldChar w:fldCharType="end"/>
          </w:r>
        </w:p>
        <w:p>
          <w:pPr>
            <w:pStyle w:val="13"/>
            <w:tabs>
              <w:tab w:val="right" w:leader="dot" w:pos="8306"/>
            </w:tabs>
            <w:spacing w:line="360" w:lineRule="auto"/>
          </w:pPr>
          <w:r>
            <w:fldChar w:fldCharType="begin"/>
          </w:r>
          <w:r>
            <w:instrText xml:space="preserve"> HYPERLINK \l "_Toc14167" </w:instrText>
          </w:r>
          <w:r>
            <w:fldChar w:fldCharType="separate"/>
          </w:r>
          <w:r>
            <w:rPr>
              <w:rFonts w:hint="eastAsia" w:ascii="黑体" w:hAnsi="黑体" w:eastAsia="黑体" w:cs="黑体"/>
              <w:szCs w:val="32"/>
            </w:rPr>
            <w:t>二、评估目的</w:t>
          </w:r>
          <w:r>
            <w:tab/>
          </w:r>
          <w:r>
            <w:fldChar w:fldCharType="begin"/>
          </w:r>
          <w:r>
            <w:instrText xml:space="preserve"> PAGEREF _Toc14167 \h </w:instrText>
          </w:r>
          <w:r>
            <w:fldChar w:fldCharType="separate"/>
          </w:r>
          <w:r>
            <w:t>5</w:t>
          </w:r>
          <w:r>
            <w:fldChar w:fldCharType="end"/>
          </w:r>
          <w:r>
            <w:fldChar w:fldCharType="end"/>
          </w:r>
        </w:p>
        <w:p>
          <w:pPr>
            <w:pStyle w:val="13"/>
            <w:tabs>
              <w:tab w:val="right" w:leader="dot" w:pos="8306"/>
            </w:tabs>
            <w:spacing w:line="360" w:lineRule="auto"/>
          </w:pPr>
          <w:r>
            <w:fldChar w:fldCharType="begin"/>
          </w:r>
          <w:r>
            <w:instrText xml:space="preserve"> HYPERLINK \l "_Toc20581" </w:instrText>
          </w:r>
          <w:r>
            <w:fldChar w:fldCharType="separate"/>
          </w:r>
          <w:r>
            <w:rPr>
              <w:rFonts w:hint="eastAsia" w:ascii="黑体" w:hAnsi="黑体" w:eastAsia="黑体" w:cs="黑体"/>
              <w:szCs w:val="32"/>
            </w:rPr>
            <w:t>三、评估依据</w:t>
          </w:r>
          <w:r>
            <w:tab/>
          </w:r>
          <w:r>
            <w:fldChar w:fldCharType="begin"/>
          </w:r>
          <w:r>
            <w:instrText xml:space="preserve"> PAGEREF _Toc20581 \h </w:instrText>
          </w:r>
          <w:r>
            <w:fldChar w:fldCharType="separate"/>
          </w:r>
          <w:r>
            <w:t>6</w:t>
          </w:r>
          <w:r>
            <w:fldChar w:fldCharType="end"/>
          </w:r>
          <w:r>
            <w:fldChar w:fldCharType="end"/>
          </w:r>
        </w:p>
        <w:p>
          <w:pPr>
            <w:pStyle w:val="13"/>
            <w:tabs>
              <w:tab w:val="right" w:leader="dot" w:pos="8306"/>
            </w:tabs>
            <w:spacing w:line="360" w:lineRule="auto"/>
          </w:pPr>
          <w:r>
            <w:fldChar w:fldCharType="begin"/>
          </w:r>
          <w:r>
            <w:instrText xml:space="preserve"> HYPERLINK \l "_Toc25897" </w:instrText>
          </w:r>
          <w:r>
            <w:fldChar w:fldCharType="separate"/>
          </w:r>
          <w:r>
            <w:rPr>
              <w:rFonts w:hint="eastAsia" w:ascii="黑体" w:hAnsi="黑体" w:eastAsia="黑体" w:cs="黑体"/>
              <w:szCs w:val="32"/>
            </w:rPr>
            <w:t>四、评估要点</w:t>
          </w:r>
          <w:r>
            <w:tab/>
          </w:r>
          <w:r>
            <w:fldChar w:fldCharType="begin"/>
          </w:r>
          <w:r>
            <w:instrText xml:space="preserve"> PAGEREF _Toc25897 \h </w:instrText>
          </w:r>
          <w:r>
            <w:fldChar w:fldCharType="separate"/>
          </w:r>
          <w:r>
            <w:t>7</w:t>
          </w:r>
          <w:r>
            <w:fldChar w:fldCharType="end"/>
          </w:r>
          <w:r>
            <w:fldChar w:fldCharType="end"/>
          </w:r>
        </w:p>
        <w:p>
          <w:pPr>
            <w:pStyle w:val="13"/>
            <w:tabs>
              <w:tab w:val="right" w:leader="dot" w:pos="8306"/>
            </w:tabs>
            <w:spacing w:line="360" w:lineRule="auto"/>
          </w:pPr>
          <w:r>
            <w:fldChar w:fldCharType="begin"/>
          </w:r>
          <w:r>
            <w:instrText xml:space="preserve"> HYPERLINK \l "_Toc18175" </w:instrText>
          </w:r>
          <w:r>
            <w:fldChar w:fldCharType="separate"/>
          </w:r>
          <w:r>
            <w:rPr>
              <w:rFonts w:hint="eastAsia" w:ascii="黑体" w:hAnsi="黑体" w:eastAsia="黑体" w:cs="黑体"/>
              <w:szCs w:val="32"/>
            </w:rPr>
            <w:t>五、评估方法</w:t>
          </w:r>
          <w:r>
            <w:tab/>
          </w:r>
          <w:r>
            <w:fldChar w:fldCharType="begin"/>
          </w:r>
          <w:r>
            <w:instrText xml:space="preserve"> PAGEREF _Toc18175 \h </w:instrText>
          </w:r>
          <w:r>
            <w:fldChar w:fldCharType="separate"/>
          </w:r>
          <w:r>
            <w:t>7</w:t>
          </w:r>
          <w:r>
            <w:fldChar w:fldCharType="end"/>
          </w:r>
          <w:r>
            <w:fldChar w:fldCharType="end"/>
          </w:r>
        </w:p>
        <w:p>
          <w:pPr>
            <w:pStyle w:val="13"/>
            <w:tabs>
              <w:tab w:val="right" w:leader="dot" w:pos="8306"/>
            </w:tabs>
            <w:spacing w:line="360" w:lineRule="auto"/>
          </w:pPr>
          <w:r>
            <w:fldChar w:fldCharType="begin"/>
          </w:r>
          <w:r>
            <w:instrText xml:space="preserve"> HYPERLINK \l "_Toc16711" </w:instrText>
          </w:r>
          <w:r>
            <w:fldChar w:fldCharType="separate"/>
          </w:r>
          <w:r>
            <w:rPr>
              <w:rFonts w:hint="eastAsia" w:ascii="黑体" w:hAnsi="黑体" w:eastAsia="黑体" w:cs="黑体"/>
              <w:szCs w:val="32"/>
            </w:rPr>
            <w:t>六、评估方式</w:t>
          </w:r>
          <w:r>
            <w:tab/>
          </w:r>
          <w:r>
            <w:fldChar w:fldCharType="begin"/>
          </w:r>
          <w:r>
            <w:instrText xml:space="preserve"> PAGEREF _Toc16711 \h </w:instrText>
          </w:r>
          <w:r>
            <w:fldChar w:fldCharType="separate"/>
          </w:r>
          <w:r>
            <w:t>8</w:t>
          </w:r>
          <w:r>
            <w:fldChar w:fldCharType="end"/>
          </w:r>
          <w:r>
            <w:fldChar w:fldCharType="end"/>
          </w:r>
        </w:p>
        <w:p>
          <w:pPr>
            <w:pStyle w:val="11"/>
            <w:tabs>
              <w:tab w:val="right" w:leader="dot" w:pos="8306"/>
            </w:tabs>
            <w:spacing w:line="360" w:lineRule="auto"/>
          </w:pPr>
          <w:r>
            <w:fldChar w:fldCharType="begin"/>
          </w:r>
          <w:r>
            <w:instrText xml:space="preserve"> HYPERLINK \l "_Toc12932" </w:instrText>
          </w:r>
          <w:r>
            <w:fldChar w:fldCharType="separate"/>
          </w:r>
          <w:r>
            <w:rPr>
              <w:rFonts w:hint="eastAsia" w:ascii="黑体" w:hAnsi="黑体" w:eastAsia="黑体" w:cs="黑体"/>
              <w:bCs/>
              <w:szCs w:val="32"/>
            </w:rPr>
            <w:t>第二部分  风险评估内容</w:t>
          </w:r>
          <w:r>
            <w:tab/>
          </w:r>
          <w:r>
            <w:fldChar w:fldCharType="begin"/>
          </w:r>
          <w:r>
            <w:instrText xml:space="preserve"> PAGEREF _Toc12932 \h </w:instrText>
          </w:r>
          <w:r>
            <w:fldChar w:fldCharType="separate"/>
          </w:r>
          <w:r>
            <w:t>9</w:t>
          </w:r>
          <w:r>
            <w:fldChar w:fldCharType="end"/>
          </w:r>
          <w:r>
            <w:fldChar w:fldCharType="end"/>
          </w:r>
        </w:p>
        <w:p>
          <w:pPr>
            <w:pStyle w:val="13"/>
            <w:tabs>
              <w:tab w:val="right" w:leader="dot" w:pos="8306"/>
            </w:tabs>
            <w:spacing w:line="360" w:lineRule="auto"/>
          </w:pPr>
          <w:r>
            <w:fldChar w:fldCharType="begin"/>
          </w:r>
          <w:r>
            <w:instrText xml:space="preserve"> HYPERLINK \l "_Toc16446" </w:instrText>
          </w:r>
          <w:r>
            <w:fldChar w:fldCharType="separate"/>
          </w:r>
          <w:r>
            <w:rPr>
              <w:rFonts w:hint="eastAsia" w:ascii="黑体" w:hAnsi="黑体" w:eastAsia="黑体" w:cs="黑体"/>
              <w:szCs w:val="32"/>
            </w:rPr>
            <w:t>一、合法性评估</w:t>
          </w:r>
          <w:r>
            <w:tab/>
          </w:r>
          <w:r>
            <w:fldChar w:fldCharType="begin"/>
          </w:r>
          <w:r>
            <w:instrText xml:space="preserve"> PAGEREF _Toc16446 \h </w:instrText>
          </w:r>
          <w:r>
            <w:fldChar w:fldCharType="separate"/>
          </w:r>
          <w:r>
            <w:t>9</w:t>
          </w:r>
          <w:r>
            <w:fldChar w:fldCharType="end"/>
          </w:r>
          <w:r>
            <w:fldChar w:fldCharType="end"/>
          </w:r>
        </w:p>
        <w:p>
          <w:pPr>
            <w:pStyle w:val="8"/>
            <w:tabs>
              <w:tab w:val="right" w:leader="dot" w:pos="8306"/>
            </w:tabs>
            <w:spacing w:line="360" w:lineRule="auto"/>
          </w:pPr>
          <w:r>
            <w:fldChar w:fldCharType="begin"/>
          </w:r>
          <w:r>
            <w:instrText xml:space="preserve"> HYPERLINK \l "_Toc11691" </w:instrText>
          </w:r>
          <w:r>
            <w:fldChar w:fldCharType="separate"/>
          </w:r>
          <w:r>
            <w:rPr>
              <w:rFonts w:hint="eastAsia" w:ascii="楷体" w:hAnsi="楷体" w:eastAsia="楷体" w:cs="楷体"/>
              <w:szCs w:val="32"/>
            </w:rPr>
            <w:t>（一）决策承办单位主体资格</w:t>
          </w:r>
          <w:r>
            <w:tab/>
          </w:r>
          <w:r>
            <w:fldChar w:fldCharType="begin"/>
          </w:r>
          <w:r>
            <w:instrText xml:space="preserve"> PAGEREF _Toc11691 \h </w:instrText>
          </w:r>
          <w:r>
            <w:fldChar w:fldCharType="separate"/>
          </w:r>
          <w:r>
            <w:t>9</w:t>
          </w:r>
          <w:r>
            <w:fldChar w:fldCharType="end"/>
          </w:r>
          <w:r>
            <w:fldChar w:fldCharType="end"/>
          </w:r>
        </w:p>
        <w:p>
          <w:pPr>
            <w:pStyle w:val="8"/>
            <w:tabs>
              <w:tab w:val="right" w:leader="dot" w:pos="8306"/>
            </w:tabs>
            <w:spacing w:line="360" w:lineRule="auto"/>
          </w:pPr>
          <w:r>
            <w:fldChar w:fldCharType="begin"/>
          </w:r>
          <w:r>
            <w:instrText xml:space="preserve"> HYPERLINK \l "_Toc12487" </w:instrText>
          </w:r>
          <w:r>
            <w:fldChar w:fldCharType="separate"/>
          </w:r>
          <w:r>
            <w:rPr>
              <w:rFonts w:hint="eastAsia" w:ascii="楷体" w:hAnsi="楷体" w:eastAsia="楷体" w:cs="楷体"/>
              <w:szCs w:val="32"/>
            </w:rPr>
            <w:t>（二）制定依据</w:t>
          </w:r>
          <w:r>
            <w:tab/>
          </w:r>
          <w:r>
            <w:fldChar w:fldCharType="begin"/>
          </w:r>
          <w:r>
            <w:instrText xml:space="preserve"> PAGEREF _Toc12487 \h </w:instrText>
          </w:r>
          <w:r>
            <w:fldChar w:fldCharType="separate"/>
          </w:r>
          <w:r>
            <w:t>9</w:t>
          </w:r>
          <w:r>
            <w:fldChar w:fldCharType="end"/>
          </w:r>
          <w:r>
            <w:fldChar w:fldCharType="end"/>
          </w:r>
        </w:p>
        <w:p>
          <w:pPr>
            <w:pStyle w:val="8"/>
            <w:tabs>
              <w:tab w:val="right" w:leader="dot" w:pos="8306"/>
            </w:tabs>
            <w:spacing w:line="360" w:lineRule="auto"/>
          </w:pPr>
          <w:r>
            <w:fldChar w:fldCharType="begin"/>
          </w:r>
          <w:r>
            <w:instrText xml:space="preserve"> HYPERLINK \l "_Toc22459" </w:instrText>
          </w:r>
          <w:r>
            <w:fldChar w:fldCharType="separate"/>
          </w:r>
          <w:r>
            <w:rPr>
              <w:rFonts w:hint="eastAsia" w:ascii="楷体" w:hAnsi="楷体" w:eastAsia="楷体" w:cs="楷体"/>
              <w:szCs w:val="32"/>
            </w:rPr>
            <w:t>（三）制定程序</w:t>
          </w:r>
          <w:r>
            <w:tab/>
          </w:r>
          <w:r>
            <w:fldChar w:fldCharType="begin"/>
          </w:r>
          <w:r>
            <w:instrText xml:space="preserve"> PAGEREF _Toc22459 \h </w:instrText>
          </w:r>
          <w:r>
            <w:fldChar w:fldCharType="separate"/>
          </w:r>
          <w:r>
            <w:t>10</w:t>
          </w:r>
          <w:r>
            <w:fldChar w:fldCharType="end"/>
          </w:r>
          <w:r>
            <w:fldChar w:fldCharType="end"/>
          </w:r>
        </w:p>
        <w:p>
          <w:pPr>
            <w:pStyle w:val="13"/>
            <w:tabs>
              <w:tab w:val="right" w:leader="dot" w:pos="8306"/>
            </w:tabs>
            <w:spacing w:line="360" w:lineRule="auto"/>
          </w:pPr>
          <w:r>
            <w:fldChar w:fldCharType="begin"/>
          </w:r>
          <w:r>
            <w:instrText xml:space="preserve"> HYPERLINK \l "_Toc23216" </w:instrText>
          </w:r>
          <w:r>
            <w:fldChar w:fldCharType="separate"/>
          </w:r>
          <w:r>
            <w:rPr>
              <w:rFonts w:hint="eastAsia" w:ascii="黑体" w:hAnsi="黑体" w:eastAsia="黑体" w:cs="黑体"/>
              <w:szCs w:val="32"/>
            </w:rPr>
            <w:t>二、合理性评估</w:t>
          </w:r>
          <w:r>
            <w:tab/>
          </w:r>
          <w:r>
            <w:fldChar w:fldCharType="begin"/>
          </w:r>
          <w:r>
            <w:instrText xml:space="preserve"> PAGEREF _Toc23216 \h </w:instrText>
          </w:r>
          <w:r>
            <w:fldChar w:fldCharType="separate"/>
          </w:r>
          <w:r>
            <w:t>11</w:t>
          </w:r>
          <w:r>
            <w:fldChar w:fldCharType="end"/>
          </w:r>
          <w:r>
            <w:fldChar w:fldCharType="end"/>
          </w:r>
        </w:p>
        <w:p>
          <w:pPr>
            <w:pStyle w:val="8"/>
            <w:tabs>
              <w:tab w:val="right" w:leader="dot" w:pos="8306"/>
            </w:tabs>
            <w:spacing w:line="360" w:lineRule="auto"/>
          </w:pPr>
          <w:r>
            <w:fldChar w:fldCharType="begin"/>
          </w:r>
          <w:r>
            <w:instrText xml:space="preserve"> HYPERLINK \l "_Toc4175" </w:instrText>
          </w:r>
          <w:r>
            <w:fldChar w:fldCharType="separate"/>
          </w:r>
          <w:r>
            <w:rPr>
              <w:rFonts w:hint="eastAsia" w:ascii="楷体" w:hAnsi="楷体" w:eastAsia="楷体" w:cs="楷体"/>
              <w:szCs w:val="32"/>
            </w:rPr>
            <w:t>（一）满足国家推行CCC免办的政策导向</w:t>
          </w:r>
          <w:r>
            <w:tab/>
          </w:r>
          <w:r>
            <w:fldChar w:fldCharType="begin"/>
          </w:r>
          <w:r>
            <w:instrText xml:space="preserve"> PAGEREF _Toc4175 \h </w:instrText>
          </w:r>
          <w:r>
            <w:fldChar w:fldCharType="separate"/>
          </w:r>
          <w:r>
            <w:t>11</w:t>
          </w:r>
          <w:r>
            <w:fldChar w:fldCharType="end"/>
          </w:r>
          <w:r>
            <w:fldChar w:fldCharType="end"/>
          </w:r>
        </w:p>
        <w:p>
          <w:pPr>
            <w:pStyle w:val="8"/>
            <w:tabs>
              <w:tab w:val="right" w:leader="dot" w:pos="8306"/>
            </w:tabs>
            <w:spacing w:line="360" w:lineRule="auto"/>
          </w:pPr>
          <w:r>
            <w:fldChar w:fldCharType="begin"/>
          </w:r>
          <w:r>
            <w:instrText xml:space="preserve"> HYPERLINK \l "_Toc554" </w:instrText>
          </w:r>
          <w:r>
            <w:fldChar w:fldCharType="separate"/>
          </w:r>
          <w:r>
            <w:rPr>
              <w:rFonts w:hint="eastAsia" w:ascii="楷体" w:hAnsi="楷体" w:eastAsia="楷体" w:cs="楷体"/>
              <w:szCs w:val="32"/>
            </w:rPr>
            <w:t>（二）响应《深圳市建设营商环境创新试点城市实施方案》和深圳市建设营商环境创新试点城市首批改革事项清单的战略要求，促进CCC免办制度落到实地</w:t>
          </w:r>
          <w:r>
            <w:tab/>
          </w:r>
          <w:r>
            <w:fldChar w:fldCharType="begin"/>
          </w:r>
          <w:r>
            <w:instrText xml:space="preserve"> PAGEREF _Toc554 \h </w:instrText>
          </w:r>
          <w:r>
            <w:fldChar w:fldCharType="separate"/>
          </w:r>
          <w:r>
            <w:t>11</w:t>
          </w:r>
          <w:r>
            <w:fldChar w:fldCharType="end"/>
          </w:r>
          <w:r>
            <w:fldChar w:fldCharType="end"/>
          </w:r>
        </w:p>
        <w:p>
          <w:pPr>
            <w:pStyle w:val="8"/>
            <w:tabs>
              <w:tab w:val="right" w:leader="dot" w:pos="8306"/>
            </w:tabs>
            <w:spacing w:line="360" w:lineRule="auto"/>
          </w:pPr>
          <w:r>
            <w:fldChar w:fldCharType="begin"/>
          </w:r>
          <w:r>
            <w:instrText xml:space="preserve"> HYPERLINK \l "_Toc18918" </w:instrText>
          </w:r>
          <w:r>
            <w:fldChar w:fldCharType="separate"/>
          </w:r>
          <w:r>
            <w:rPr>
              <w:rFonts w:hint="eastAsia" w:ascii="楷体" w:hAnsi="楷体" w:eastAsia="楷体" w:cs="楷体"/>
              <w:szCs w:val="32"/>
            </w:rPr>
            <w:t>（三）明确CCC免办申请管理要求，有效填补上位法空白</w:t>
          </w:r>
          <w:r>
            <w:tab/>
          </w:r>
          <w:r>
            <w:fldChar w:fldCharType="begin"/>
          </w:r>
          <w:r>
            <w:instrText xml:space="preserve"> PAGEREF _Toc18918 \h </w:instrText>
          </w:r>
          <w:r>
            <w:fldChar w:fldCharType="separate"/>
          </w:r>
          <w:r>
            <w:t>12</w:t>
          </w:r>
          <w:r>
            <w:fldChar w:fldCharType="end"/>
          </w:r>
          <w:r>
            <w:fldChar w:fldCharType="end"/>
          </w:r>
        </w:p>
        <w:p>
          <w:pPr>
            <w:pStyle w:val="13"/>
            <w:tabs>
              <w:tab w:val="right" w:leader="dot" w:pos="8306"/>
            </w:tabs>
            <w:spacing w:line="360" w:lineRule="auto"/>
          </w:pPr>
          <w:r>
            <w:fldChar w:fldCharType="begin"/>
          </w:r>
          <w:r>
            <w:instrText xml:space="preserve"> HYPERLINK \l "_Toc23165" </w:instrText>
          </w:r>
          <w:r>
            <w:fldChar w:fldCharType="separate"/>
          </w:r>
          <w:r>
            <w:rPr>
              <w:rFonts w:hint="eastAsia" w:ascii="黑体" w:hAnsi="黑体" w:eastAsia="黑体" w:cs="黑体"/>
              <w:szCs w:val="32"/>
            </w:rPr>
            <w:t>三、可行性评估</w:t>
          </w:r>
          <w:r>
            <w:tab/>
          </w:r>
          <w:r>
            <w:fldChar w:fldCharType="begin"/>
          </w:r>
          <w:r>
            <w:instrText xml:space="preserve"> PAGEREF _Toc23165 \h </w:instrText>
          </w:r>
          <w:r>
            <w:fldChar w:fldCharType="separate"/>
          </w:r>
          <w:r>
            <w:t>12</w:t>
          </w:r>
          <w:r>
            <w:fldChar w:fldCharType="end"/>
          </w:r>
          <w:r>
            <w:fldChar w:fldCharType="end"/>
          </w:r>
        </w:p>
        <w:p>
          <w:pPr>
            <w:pStyle w:val="8"/>
            <w:tabs>
              <w:tab w:val="right" w:leader="dot" w:pos="8306"/>
            </w:tabs>
            <w:spacing w:line="360" w:lineRule="auto"/>
          </w:pPr>
          <w:r>
            <w:fldChar w:fldCharType="begin"/>
          </w:r>
          <w:r>
            <w:instrText xml:space="preserve"> HYPERLINK \l "_Toc29253" </w:instrText>
          </w:r>
          <w:r>
            <w:fldChar w:fldCharType="separate"/>
          </w:r>
          <w:r>
            <w:rPr>
              <w:rFonts w:hint="eastAsia" w:ascii="楷体" w:hAnsi="楷体" w:eastAsia="楷体" w:cs="楷体"/>
              <w:szCs w:val="32"/>
            </w:rPr>
            <w:t>（一）理顺职责体系和管理流程，提升市监局对CCC免办审核和监管工作效率</w:t>
          </w:r>
          <w:r>
            <w:tab/>
          </w:r>
          <w:r>
            <w:fldChar w:fldCharType="begin"/>
          </w:r>
          <w:r>
            <w:instrText xml:space="preserve"> PAGEREF _Toc29253 \h </w:instrText>
          </w:r>
          <w:r>
            <w:fldChar w:fldCharType="separate"/>
          </w:r>
          <w:r>
            <w:t>13</w:t>
          </w:r>
          <w:r>
            <w:fldChar w:fldCharType="end"/>
          </w:r>
          <w:r>
            <w:fldChar w:fldCharType="end"/>
          </w:r>
        </w:p>
        <w:p>
          <w:pPr>
            <w:pStyle w:val="8"/>
            <w:tabs>
              <w:tab w:val="right" w:leader="dot" w:pos="8306"/>
            </w:tabs>
            <w:spacing w:line="360" w:lineRule="auto"/>
          </w:pPr>
          <w:r>
            <w:fldChar w:fldCharType="begin"/>
          </w:r>
          <w:r>
            <w:instrText xml:space="preserve"> HYPERLINK \l "_Toc2931" </w:instrText>
          </w:r>
          <w:r>
            <w:fldChar w:fldCharType="separate"/>
          </w:r>
          <w:r>
            <w:rPr>
              <w:rFonts w:hint="eastAsia" w:ascii="楷体" w:hAnsi="楷体" w:eastAsia="楷体" w:cs="楷体"/>
              <w:szCs w:val="32"/>
            </w:rPr>
            <w:t>（二）有效积累试点经验，保证了《操作办法》的可操作性</w:t>
          </w:r>
          <w:r>
            <w:tab/>
          </w:r>
          <w:r>
            <w:fldChar w:fldCharType="begin"/>
          </w:r>
          <w:r>
            <w:instrText xml:space="preserve"> PAGEREF _Toc2931 \h </w:instrText>
          </w:r>
          <w:r>
            <w:fldChar w:fldCharType="separate"/>
          </w:r>
          <w:r>
            <w:t>14</w:t>
          </w:r>
          <w:r>
            <w:fldChar w:fldCharType="end"/>
          </w:r>
          <w:r>
            <w:fldChar w:fldCharType="end"/>
          </w:r>
        </w:p>
        <w:p>
          <w:pPr>
            <w:pStyle w:val="8"/>
            <w:tabs>
              <w:tab w:val="right" w:leader="dot" w:pos="8306"/>
            </w:tabs>
            <w:spacing w:line="360" w:lineRule="auto"/>
          </w:pPr>
          <w:r>
            <w:fldChar w:fldCharType="begin"/>
          </w:r>
          <w:r>
            <w:instrText xml:space="preserve"> HYPERLINK \l "_Toc9923" </w:instrText>
          </w:r>
          <w:r>
            <w:fldChar w:fldCharType="separate"/>
          </w:r>
          <w:r>
            <w:rPr>
              <w:rFonts w:hint="eastAsia" w:ascii="楷体" w:hAnsi="楷体" w:eastAsia="楷体" w:cs="楷体"/>
              <w:szCs w:val="32"/>
            </w:rPr>
            <w:t>（三）充分征求并采纳各方意见，增强了《操作办法》的制定和施行的可行性依据</w:t>
          </w:r>
          <w:r>
            <w:tab/>
          </w:r>
          <w:r>
            <w:fldChar w:fldCharType="begin"/>
          </w:r>
          <w:r>
            <w:instrText xml:space="preserve"> PAGEREF _Toc9923 \h </w:instrText>
          </w:r>
          <w:r>
            <w:fldChar w:fldCharType="separate"/>
          </w:r>
          <w:r>
            <w:t>15</w:t>
          </w:r>
          <w:r>
            <w:fldChar w:fldCharType="end"/>
          </w:r>
          <w:r>
            <w:fldChar w:fldCharType="end"/>
          </w:r>
        </w:p>
        <w:p>
          <w:pPr>
            <w:pStyle w:val="13"/>
            <w:tabs>
              <w:tab w:val="right" w:leader="dot" w:pos="8306"/>
            </w:tabs>
            <w:spacing w:line="360" w:lineRule="auto"/>
          </w:pPr>
          <w:r>
            <w:fldChar w:fldCharType="begin"/>
          </w:r>
          <w:r>
            <w:instrText xml:space="preserve"> HYPERLINK \l "_Toc18167" </w:instrText>
          </w:r>
          <w:r>
            <w:fldChar w:fldCharType="separate"/>
          </w:r>
          <w:r>
            <w:rPr>
              <w:rFonts w:hint="eastAsia" w:ascii="黑体" w:hAnsi="黑体" w:eastAsia="黑体" w:cs="黑体"/>
              <w:szCs w:val="32"/>
            </w:rPr>
            <w:t>四、可控性评估</w:t>
          </w:r>
          <w:r>
            <w:tab/>
          </w:r>
          <w:r>
            <w:fldChar w:fldCharType="begin"/>
          </w:r>
          <w:r>
            <w:instrText xml:space="preserve"> PAGEREF _Toc18167 \h </w:instrText>
          </w:r>
          <w:r>
            <w:fldChar w:fldCharType="separate"/>
          </w:r>
          <w:r>
            <w:t>15</w:t>
          </w:r>
          <w:r>
            <w:fldChar w:fldCharType="end"/>
          </w:r>
          <w:r>
            <w:fldChar w:fldCharType="end"/>
          </w:r>
        </w:p>
        <w:p>
          <w:pPr>
            <w:pStyle w:val="8"/>
            <w:tabs>
              <w:tab w:val="right" w:leader="dot" w:pos="8306"/>
            </w:tabs>
            <w:spacing w:line="360" w:lineRule="auto"/>
          </w:pPr>
          <w:r>
            <w:fldChar w:fldCharType="begin"/>
          </w:r>
          <w:r>
            <w:instrText xml:space="preserve"> HYPERLINK \l "_Toc23523" </w:instrText>
          </w:r>
          <w:r>
            <w:fldChar w:fldCharType="separate"/>
          </w:r>
          <w:r>
            <w:rPr>
              <w:rFonts w:hint="eastAsia" w:ascii="楷体" w:hAnsi="楷体" w:eastAsia="楷体" w:cs="楷体"/>
              <w:szCs w:val="32"/>
            </w:rPr>
            <w:t>（一）可能存在的风险点</w:t>
          </w:r>
          <w:r>
            <w:tab/>
          </w:r>
          <w:r>
            <w:fldChar w:fldCharType="begin"/>
          </w:r>
          <w:r>
            <w:instrText xml:space="preserve"> PAGEREF _Toc23523 \h </w:instrText>
          </w:r>
          <w:r>
            <w:fldChar w:fldCharType="separate"/>
          </w:r>
          <w:r>
            <w:t>15</w:t>
          </w:r>
          <w:r>
            <w:fldChar w:fldCharType="end"/>
          </w:r>
          <w:r>
            <w:fldChar w:fldCharType="end"/>
          </w:r>
        </w:p>
        <w:p>
          <w:pPr>
            <w:pStyle w:val="8"/>
            <w:tabs>
              <w:tab w:val="right" w:leader="dot" w:pos="8306"/>
            </w:tabs>
            <w:spacing w:line="360" w:lineRule="auto"/>
          </w:pPr>
          <w:r>
            <w:fldChar w:fldCharType="begin"/>
          </w:r>
          <w:r>
            <w:instrText xml:space="preserve"> HYPERLINK \l "_Toc6323" </w:instrText>
          </w:r>
          <w:r>
            <w:fldChar w:fldCharType="separate"/>
          </w:r>
          <w:r>
            <w:rPr>
              <w:rFonts w:hint="eastAsia" w:ascii="楷体" w:hAnsi="楷体" w:eastAsia="楷体" w:cs="楷体"/>
              <w:szCs w:val="32"/>
            </w:rPr>
            <w:t>（二）风险防范、减缓及化解措施建议</w:t>
          </w:r>
          <w:r>
            <w:tab/>
          </w:r>
          <w:r>
            <w:fldChar w:fldCharType="begin"/>
          </w:r>
          <w:r>
            <w:instrText xml:space="preserve"> PAGEREF _Toc6323 \h </w:instrText>
          </w:r>
          <w:r>
            <w:fldChar w:fldCharType="separate"/>
          </w:r>
          <w:r>
            <w:t>16</w:t>
          </w:r>
          <w:r>
            <w:fldChar w:fldCharType="end"/>
          </w:r>
          <w:r>
            <w:fldChar w:fldCharType="end"/>
          </w:r>
        </w:p>
        <w:p>
          <w:pPr>
            <w:pStyle w:val="11"/>
            <w:tabs>
              <w:tab w:val="right" w:leader="dot" w:pos="8306"/>
            </w:tabs>
            <w:spacing w:line="360" w:lineRule="auto"/>
            <w:rPr>
              <w:sz w:val="18"/>
              <w:szCs w:val="18"/>
            </w:rPr>
          </w:pPr>
          <w:r>
            <w:fldChar w:fldCharType="begin"/>
          </w:r>
          <w:r>
            <w:instrText xml:space="preserve"> HYPERLINK \l "_Toc6904" </w:instrText>
          </w:r>
          <w:r>
            <w:fldChar w:fldCharType="separate"/>
          </w:r>
          <w:r>
            <w:rPr>
              <w:rFonts w:hint="eastAsia" w:ascii="黑体" w:hAnsi="黑体" w:eastAsia="黑体" w:cs="黑体"/>
              <w:bCs/>
              <w:szCs w:val="32"/>
            </w:rPr>
            <w:t>第三部分  风险评估结论</w:t>
          </w:r>
          <w:r>
            <w:tab/>
          </w:r>
          <w:r>
            <w:fldChar w:fldCharType="begin"/>
          </w:r>
          <w:r>
            <w:instrText xml:space="preserve"> PAGEREF _Toc6904 \h </w:instrText>
          </w:r>
          <w:r>
            <w:fldChar w:fldCharType="separate"/>
          </w:r>
          <w:r>
            <w:t>18</w:t>
          </w:r>
          <w:r>
            <w:fldChar w:fldCharType="end"/>
          </w:r>
          <w:r>
            <w:fldChar w:fldCharType="end"/>
          </w:r>
        </w:p>
        <w:p>
          <w:pPr>
            <w:kinsoku/>
            <w:autoSpaceDE/>
            <w:autoSpaceDN/>
            <w:spacing w:line="360" w:lineRule="auto"/>
            <w:jc w:val="both"/>
          </w:pPr>
          <w:r>
            <w:rPr>
              <w:szCs w:val="24"/>
            </w:rPr>
            <w:fldChar w:fldCharType="end"/>
          </w:r>
        </w:p>
      </w:sdtContent>
    </w:sdt>
    <w:p>
      <w:pPr>
        <w:rPr>
          <w:rFonts w:ascii="华文中宋" w:hAnsi="华文中宋" w:eastAsia="华文中宋" w:cs="华文中宋"/>
          <w:b/>
          <w:bCs/>
          <w:sz w:val="44"/>
          <w:szCs w:val="44"/>
        </w:rPr>
      </w:pPr>
      <w:r>
        <w:rPr>
          <w:rFonts w:hint="eastAsia" w:ascii="华文中宋" w:hAnsi="华文中宋" w:eastAsia="华文中宋" w:cs="华文中宋"/>
          <w:b/>
          <w:bCs/>
          <w:sz w:val="44"/>
          <w:szCs w:val="44"/>
        </w:rPr>
        <w:br w:type="page"/>
      </w:r>
    </w:p>
    <w:p>
      <w:pPr>
        <w:jc w:val="center"/>
        <w:rPr>
          <w:rFonts w:ascii="华文中宋" w:hAnsi="华文中宋" w:eastAsia="华文中宋" w:cs="Times New Roman"/>
          <w:b/>
          <w:bCs/>
          <w:sz w:val="18"/>
          <w:szCs w:val="18"/>
        </w:rPr>
      </w:pPr>
    </w:p>
    <w:p>
      <w:pPr>
        <w:spacing w:before="156" w:beforeLines="50" w:after="156" w:afterLines="50"/>
        <w:jc w:val="center"/>
        <w:rPr>
          <w:rFonts w:ascii="华文中宋" w:hAnsi="华文中宋" w:eastAsia="华文中宋" w:cs="Times New Roman"/>
          <w:b/>
          <w:bCs/>
          <w:sz w:val="44"/>
          <w:szCs w:val="44"/>
        </w:rPr>
      </w:pPr>
      <w:r>
        <w:rPr>
          <w:rFonts w:hint="eastAsia" w:ascii="华文中宋" w:hAnsi="华文中宋" w:eastAsia="华文中宋" w:cs="Times New Roman"/>
          <w:b/>
          <w:bCs/>
          <w:sz w:val="44"/>
          <w:szCs w:val="44"/>
        </w:rPr>
        <w:t>关于《深圳市免予办理强制性产品认证便捷通道操作办法（试行）》的风险评估报告</w:t>
      </w:r>
    </w:p>
    <w:p>
      <w:pPr>
        <w:kinsoku/>
        <w:autoSpaceDE/>
        <w:autoSpaceDN/>
        <w:spacing w:line="360" w:lineRule="auto"/>
        <w:jc w:val="both"/>
      </w:pPr>
    </w:p>
    <w:p>
      <w:pPr>
        <w:pStyle w:val="2"/>
        <w:keepNext w:val="0"/>
        <w:keepLines w:val="0"/>
        <w:pageBreakBefore w:val="0"/>
        <w:widowControl/>
        <w:kinsoku/>
        <w:wordWrap/>
        <w:overflowPunct/>
        <w:topLinePunct w:val="0"/>
        <w:autoSpaceDE/>
        <w:autoSpaceDN/>
        <w:bidi w:val="0"/>
        <w:adjustRightInd w:val="0"/>
        <w:snapToGrid w:val="0"/>
        <w:spacing w:before="0" w:after="0" w:line="560" w:lineRule="exact"/>
        <w:jc w:val="center"/>
        <w:textAlignment w:val="baseline"/>
        <w:rPr>
          <w:rFonts w:ascii="黑体" w:hAnsi="黑体" w:eastAsia="黑体" w:cs="黑体"/>
          <w:sz w:val="32"/>
          <w:szCs w:val="32"/>
        </w:rPr>
      </w:pPr>
      <w:bookmarkStart w:id="0" w:name="_Toc6107"/>
      <w:r>
        <w:rPr>
          <w:rFonts w:hint="eastAsia" w:ascii="黑体" w:hAnsi="黑体" w:eastAsia="黑体" w:cs="黑体"/>
          <w:bCs/>
          <w:sz w:val="32"/>
          <w:szCs w:val="32"/>
        </w:rPr>
        <w:t>第一部分  风险评估事项概述</w:t>
      </w:r>
      <w:bookmarkEnd w:id="0"/>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jc w:val="both"/>
        <w:textAlignment w:val="baseline"/>
        <w:rPr>
          <w:rFonts w:hint="default" w:ascii="黑体" w:hAnsi="黑体" w:eastAsia="黑体" w:cs="黑体"/>
          <w:sz w:val="32"/>
          <w:szCs w:val="32"/>
        </w:rPr>
      </w:pPr>
      <w:bookmarkStart w:id="1" w:name="_Toc1291"/>
      <w:r>
        <w:rPr>
          <w:rFonts w:ascii="黑体" w:hAnsi="黑体" w:eastAsia="黑体" w:cs="黑体"/>
          <w:sz w:val="32"/>
          <w:szCs w:val="32"/>
        </w:rPr>
        <w:t>一、风险评估事项</w:t>
      </w:r>
      <w:bookmarkEnd w:id="1"/>
    </w:p>
    <w:p>
      <w:pPr>
        <w:pStyle w:val="4"/>
        <w:keepNext w:val="0"/>
        <w:keepLines w:val="0"/>
        <w:pageBreakBefore w:val="0"/>
        <w:widowControl/>
        <w:kinsoku/>
        <w:wordWrap/>
        <w:overflowPunct/>
        <w:topLinePunct w:val="0"/>
        <w:autoSpaceDE/>
        <w:autoSpaceDN/>
        <w:bidi w:val="0"/>
        <w:adjustRightInd w:val="0"/>
        <w:snapToGrid w:val="0"/>
        <w:spacing w:before="0" w:after="0" w:line="560" w:lineRule="exact"/>
        <w:ind w:firstLine="642" w:firstLineChars="200"/>
        <w:jc w:val="both"/>
        <w:textAlignment w:val="baseline"/>
        <w:rPr>
          <w:rFonts w:ascii="楷体" w:hAnsi="楷体" w:eastAsia="楷体" w:cs="楷体"/>
          <w:szCs w:val="32"/>
        </w:rPr>
      </w:pPr>
      <w:bookmarkStart w:id="2" w:name="_Toc31302"/>
      <w:r>
        <w:rPr>
          <w:rFonts w:hint="eastAsia" w:ascii="楷体" w:hAnsi="楷体" w:eastAsia="楷体" w:cs="楷体"/>
          <w:szCs w:val="32"/>
        </w:rPr>
        <w:t>（一）评估事项名称</w:t>
      </w:r>
      <w:bookmarkEnd w:id="2"/>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《深圳市免予办理强制性产品认证便捷通道操作办法（试行）》（以下简称“《操作办法》”）</w:t>
      </w:r>
    </w:p>
    <w:p>
      <w:pPr>
        <w:pStyle w:val="4"/>
        <w:keepNext w:val="0"/>
        <w:keepLines w:val="0"/>
        <w:pageBreakBefore w:val="0"/>
        <w:widowControl/>
        <w:kinsoku/>
        <w:wordWrap/>
        <w:overflowPunct/>
        <w:topLinePunct w:val="0"/>
        <w:autoSpaceDE/>
        <w:autoSpaceDN/>
        <w:bidi w:val="0"/>
        <w:adjustRightInd w:val="0"/>
        <w:snapToGrid w:val="0"/>
        <w:spacing w:before="0" w:after="0" w:line="560" w:lineRule="exact"/>
        <w:ind w:firstLine="642" w:firstLineChars="200"/>
        <w:jc w:val="both"/>
        <w:textAlignment w:val="baseline"/>
        <w:rPr>
          <w:rFonts w:ascii="楷体" w:hAnsi="楷体" w:eastAsia="楷体" w:cs="楷体"/>
          <w:szCs w:val="32"/>
        </w:rPr>
      </w:pPr>
      <w:bookmarkStart w:id="3" w:name="_Toc19874"/>
      <w:r>
        <w:rPr>
          <w:rFonts w:hint="eastAsia" w:ascii="楷体" w:hAnsi="楷体" w:eastAsia="楷体" w:cs="楷体"/>
          <w:szCs w:val="32"/>
        </w:rPr>
        <w:t>（二）评估事项制定背景</w:t>
      </w:r>
      <w:bookmarkEnd w:id="3"/>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国务院关于开展营商环境创新试点工作的意见》（国发〔2021〕24号）、《深圳市人民政府关于印发市建设营商环境创新试点城市实施方案的通知》（深府〔2022〕13号）改革任务和要求，在CCC（中国强制认证）免办管理系统中对符合条件的企业开设便捷通道，对CCC免办证书申办量较大的企业实行自我承诺、自我填报、自动获证，利于国内集成电路、智能制造、生物医药等科技型企业提高进口零部件时效、降低通关成本、缩短售后响应时间等，进一步提升跨境贸易便利化水平，特制定本办法。</w:t>
      </w:r>
    </w:p>
    <w:p>
      <w:pPr>
        <w:pStyle w:val="4"/>
        <w:keepNext w:val="0"/>
        <w:keepLines w:val="0"/>
        <w:pageBreakBefore w:val="0"/>
        <w:widowControl/>
        <w:kinsoku/>
        <w:wordWrap/>
        <w:overflowPunct/>
        <w:topLinePunct w:val="0"/>
        <w:autoSpaceDE/>
        <w:autoSpaceDN/>
        <w:bidi w:val="0"/>
        <w:adjustRightInd w:val="0"/>
        <w:snapToGrid w:val="0"/>
        <w:spacing w:before="0" w:after="0" w:line="560" w:lineRule="exact"/>
        <w:ind w:firstLine="642" w:firstLineChars="200"/>
        <w:jc w:val="both"/>
        <w:textAlignment w:val="baseline"/>
        <w:rPr>
          <w:rFonts w:ascii="楷体" w:hAnsi="楷体" w:eastAsia="楷体" w:cs="楷体"/>
          <w:szCs w:val="32"/>
        </w:rPr>
      </w:pPr>
      <w:bookmarkStart w:id="4" w:name="_Toc15895"/>
      <w:r>
        <w:rPr>
          <w:rFonts w:hint="eastAsia" w:ascii="楷体" w:hAnsi="楷体" w:eastAsia="楷体" w:cs="楷体"/>
          <w:szCs w:val="32"/>
        </w:rPr>
        <w:t>（三）评估事项制定过程</w:t>
      </w:r>
      <w:bookmarkEnd w:id="4"/>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2021年11月25日，国务院发布《国务院关于开展营商环境创新试点工作的意见》（国发〔2021〕24号），根据《意见》安排，“首批营商环境创新试点改革事项清单”第46项要求在“CCC免办及特殊用途进口产品检测处理管理系统”中为符合条件的企业开设便捷通道。深圳市场监管局于2021年底前两次专文请示广东省市场监管局（深市监〔2021〕362号、深市监〔2021〕553号）并由省局上报请示总局，完成此项改革试点前期准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2022年6月17日，国家市场监督管理总局认证监管司召开广东省市场监管局、深圳市场监管局参加的视频会议对此项改革进行部署安排，同意深圳市局请示，对报送的第一批2家企业定于6月底开通便捷通道。</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2022年6月21日，市局审批处拟订《关于征求深圳市市场监督管理局试行免予办理强制性产品认证便捷通道改革实施方案修改意见的函》，并在全局系统征求修改意见，并进一步细化完善。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2022年6月27日，《深圳市市场监督管理局关于印发试行免予办理强制性产品认证便捷通道改革实施方案的通知》（深市监〔2022〕207号）正式印发。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按照上级要求，该实施方案须制定规范性文件予以公示实施。审批处在总结试点的基础上对实施办法做了进一步完善，并形成《操作办法》。</w:t>
      </w:r>
    </w:p>
    <w:p>
      <w:pPr>
        <w:pStyle w:val="4"/>
        <w:keepNext w:val="0"/>
        <w:keepLines w:val="0"/>
        <w:pageBreakBefore w:val="0"/>
        <w:widowControl/>
        <w:kinsoku/>
        <w:wordWrap/>
        <w:overflowPunct/>
        <w:topLinePunct w:val="0"/>
        <w:autoSpaceDE/>
        <w:autoSpaceDN/>
        <w:bidi w:val="0"/>
        <w:adjustRightInd w:val="0"/>
        <w:snapToGrid w:val="0"/>
        <w:spacing w:before="0" w:after="0" w:line="560" w:lineRule="exact"/>
        <w:ind w:firstLine="642" w:firstLineChars="200"/>
        <w:jc w:val="both"/>
        <w:textAlignment w:val="baseline"/>
        <w:rPr>
          <w:rFonts w:ascii="楷体" w:hAnsi="楷体" w:eastAsia="楷体" w:cs="楷体"/>
          <w:szCs w:val="32"/>
        </w:rPr>
      </w:pPr>
      <w:bookmarkStart w:id="5" w:name="_Toc25101"/>
      <w:r>
        <w:rPr>
          <w:rFonts w:hint="eastAsia" w:ascii="楷体" w:hAnsi="楷体" w:eastAsia="楷体" w:cs="楷体"/>
          <w:szCs w:val="32"/>
        </w:rPr>
        <w:t>（四）评估事项主要内容</w:t>
      </w:r>
      <w:bookmarkEnd w:id="5"/>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both"/>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1.总体情况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操作办法》规定了深圳市免于办理强制性产品认证（以下简称“CCC免办”）的情形和具体内容。向深圳市市场监管部门申请CCC免办业务、且通过国家市场监督管理总局“CCC免办及特殊用途进口产品检测处理管理系统”申报的法人和其他组织，通过自愿申报、自我承诺、自我填报、自动获证的方式，在CCC免办系统中便捷获取《免予办理强制性产品认证证明》。</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both"/>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2.便捷通道条件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注册或者经营地应为深圳，产品实际从深圳进口，且最终使用地为深圳。已办理2年（含）以上CCC免办产品进口业务，同一免办类型平均每年办理CCC免办产品进口业务50批次（含）以上。信用良好，在国家企业信用信息公示系统2年内无不良记录。两年内无行政处罚记录。在深圳建立并实施CCC免办产品追溯管理制度，明确管理部门及具体岗位人员。制定并执行CCC免办产品入库、领用、使用、归还、退运或报废等管理要求，可及时追溯CCC免办产品流向。</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both"/>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3.事后监督措施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CCC免办便捷通道使用单位所在辖区局在其开通便捷通道后1个月内开展现场核查，对开通便捷通道申请条件及产品使用、核销等情况实施检查。市市场监管局每年制定年度专项检查计划，组织各辖区局对CCC免办便捷通道使用单位开展专项检查。市市场监管局及各辖区局应与海关部门加强联系，建立相应协作机制，对CCC免办便捷通道使用单位适时开展联合检查行动。CCC免办便捷通道使用单位须严格落实主体责任，恪守承诺，守法经营，并于每年3月31日前将上年度办理情况报送辖区局。</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jc w:val="both"/>
        <w:textAlignment w:val="baseline"/>
        <w:rPr>
          <w:rFonts w:hint="default" w:ascii="黑体" w:hAnsi="黑体" w:eastAsia="黑体" w:cs="黑体"/>
          <w:sz w:val="32"/>
          <w:szCs w:val="32"/>
        </w:rPr>
      </w:pPr>
      <w:bookmarkStart w:id="6" w:name="_Toc14167"/>
      <w:r>
        <w:rPr>
          <w:rFonts w:ascii="黑体" w:hAnsi="黑体" w:eastAsia="黑体" w:cs="黑体"/>
          <w:sz w:val="32"/>
          <w:szCs w:val="32"/>
        </w:rPr>
        <w:t>二、评估目的</w:t>
      </w:r>
      <w:bookmarkEnd w:id="6"/>
    </w:p>
    <w:p>
      <w:pPr>
        <w:pStyle w:val="6"/>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baseline"/>
        <w:rPr>
          <w:rFonts w:ascii="仿宋_GB2312" w:hAnsi="仿宋_GB2312" w:eastAsia="仿宋_GB2312" w:cs="仿宋_GB2312"/>
          <w:sz w:val="28"/>
          <w:szCs w:val="28"/>
        </w:rPr>
      </w:pPr>
      <w:r>
        <w:rPr>
          <w:rFonts w:hint="eastAsia" w:ascii="仿宋_GB2312" w:hAnsi="仿宋_GB2312" w:eastAsia="仿宋_GB2312" w:cs="仿宋_GB2312"/>
        </w:rPr>
        <w:t>评估目的在于对《操作办法》的科学性、合理性和可操作性进行评价，为《操作办法》的实施提供合法性与合理性依据。规范《操作办法》的制定程序，推进《操作办法》制定的科学化、民主化和法治化，提高《操作办法》制定的水平和质量。从源头上预防、减少和消除影响社会稳定的隐患，维护公共利益和社会秩序，促进和谐稳定的发展环境。</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jc w:val="both"/>
        <w:textAlignment w:val="baseline"/>
        <w:rPr>
          <w:rFonts w:hint="default" w:ascii="黑体" w:hAnsi="黑体" w:eastAsia="黑体" w:cs="黑体"/>
          <w:sz w:val="32"/>
          <w:szCs w:val="32"/>
        </w:rPr>
      </w:pPr>
      <w:bookmarkStart w:id="7" w:name="_Toc20581"/>
      <w:r>
        <w:rPr>
          <w:rFonts w:ascii="黑体" w:hAnsi="黑体" w:eastAsia="黑体" w:cs="黑体"/>
          <w:sz w:val="32"/>
          <w:szCs w:val="32"/>
        </w:rPr>
        <w:t>三、评估依据</w:t>
      </w:r>
      <w:bookmarkEnd w:id="7"/>
    </w:p>
    <w:p>
      <w:pPr>
        <w:pStyle w:val="6"/>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（一）《强制性产品认证管理规定》（2022修订）；</w:t>
      </w:r>
    </w:p>
    <w:p>
      <w:pPr>
        <w:pStyle w:val="6"/>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（二）《中华人民共和国认证认可条例》（2020修订）</w:t>
      </w:r>
    </w:p>
    <w:p>
      <w:pPr>
        <w:pStyle w:val="6"/>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（三）《市场监管总局关于明确免予办理强制性产品认证工作要求的通知》（国市监认证函〔2019〕153号）；</w:t>
      </w:r>
    </w:p>
    <w:p>
      <w:pPr>
        <w:pStyle w:val="6"/>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（四）《市场监管总局、海关总署关于免予办理强制性产品认证工作有关安排的公告》（公告〔2019〕13号）；</w:t>
      </w:r>
    </w:p>
    <w:p>
      <w:pPr>
        <w:pStyle w:val="6"/>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（五）《深圳市市场监督管理局试行免予办理强制性产品认证便捷通道改革实施方案》（深市监〔2022〕207号）；</w:t>
      </w:r>
    </w:p>
    <w:p>
      <w:pPr>
        <w:pStyle w:val="6"/>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（六）《国务院关于开展营商环境创新试点工作的意见》（国发〔2021〕24号）；</w:t>
      </w:r>
    </w:p>
    <w:p>
      <w:pPr>
        <w:pStyle w:val="6"/>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baseline"/>
        <w:rPr>
          <w:rFonts w:ascii="仿宋_GB2312" w:hAnsi="仿宋_GB2312" w:eastAsia="仿宋_GB2312" w:cs="仿宋_GB2312"/>
          <w:sz w:val="28"/>
          <w:szCs w:val="28"/>
        </w:rPr>
      </w:pPr>
      <w:r>
        <w:rPr>
          <w:rFonts w:hint="eastAsia" w:ascii="仿宋_GB2312" w:hAnsi="仿宋_GB2312" w:eastAsia="仿宋_GB2312" w:cs="仿宋_GB2312"/>
        </w:rPr>
        <w:t>（七）《深圳市人民政府关于印发市建设营商环境创新试点城市实施方案的通知》（深府〔2022〕13号）；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（八）《重大行政决策程序暂行条例》（国务院令第七百一十三号）；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（九）《广东省重大行政决策程序规定》（广东省人民政府令第288号）；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（十）《深圳市重大行政决策程序实施办法》（深府规〔2023〕2号）；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（十一）《深圳市重大事项社会稳定风险评估办法》（深办〔2008〕6号）。</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jc w:val="both"/>
        <w:textAlignment w:val="baseline"/>
        <w:rPr>
          <w:rFonts w:hint="default" w:ascii="黑体" w:hAnsi="黑体" w:eastAsia="黑体" w:cs="黑体"/>
          <w:sz w:val="32"/>
          <w:szCs w:val="32"/>
        </w:rPr>
      </w:pPr>
      <w:bookmarkStart w:id="8" w:name="_Toc25897"/>
      <w:r>
        <w:rPr>
          <w:rFonts w:ascii="黑体" w:hAnsi="黑体" w:eastAsia="黑体" w:cs="黑体"/>
          <w:sz w:val="32"/>
          <w:szCs w:val="32"/>
        </w:rPr>
        <w:t>四、评估要点</w:t>
      </w:r>
      <w:bookmarkEnd w:id="8"/>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针对《操作办法》的整体合法性、合理性、可行性、风险可控性进行综合评估。主要包括：</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（一）《操作办法》的制定主体、制定程序是否符合规定，是否具有明确的上位法依据；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（二）《操作办法》是否符合企业的利益诉求，是否给所涉企业的生产、经营带来一定的影响，是否存在企业利用制度漏洞逃避监管的风险；</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（三）涉及的企业有可能就哪些方面提出合理的异议和诉求，能否通过法律、政策妥善解决;</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（四）对涉及CCC免办有可能提出的不合理诉求，能否依据法律、政策进行充分合理解释、有力论证和详细说明，并取得大部分企业的理解和支持；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（五）在施行中可能遇到的争议，能否依据法律、政策进行充分合理解释、有力论证和详细说明；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28"/>
          <w:szCs w:val="28"/>
        </w:rPr>
      </w:pPr>
      <w:r>
        <w:rPr>
          <w:rFonts w:hint="eastAsia" w:ascii="仿宋_GB2312" w:hAnsi="仿宋_GB2312" w:eastAsia="仿宋_GB2312" w:cs="仿宋_GB2312"/>
          <w:sz w:val="32"/>
          <w:szCs w:val="32"/>
        </w:rPr>
        <w:t>（六）有可能引发不稳定因素的其他方面。</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jc w:val="both"/>
        <w:textAlignment w:val="baseline"/>
        <w:rPr>
          <w:rFonts w:hint="default" w:ascii="黑体" w:hAnsi="黑体" w:eastAsia="黑体" w:cs="黑体"/>
          <w:sz w:val="32"/>
          <w:szCs w:val="32"/>
        </w:rPr>
      </w:pPr>
      <w:bookmarkStart w:id="9" w:name="_Toc18175"/>
      <w:r>
        <w:rPr>
          <w:rFonts w:ascii="黑体" w:hAnsi="黑体" w:eastAsia="黑体" w:cs="黑体"/>
          <w:sz w:val="32"/>
          <w:szCs w:val="32"/>
        </w:rPr>
        <w:t>五、评估方法</w:t>
      </w:r>
      <w:bookmarkEnd w:id="9"/>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28"/>
          <w:szCs w:val="28"/>
        </w:rPr>
      </w:pPr>
      <w:r>
        <w:rPr>
          <w:rFonts w:hint="eastAsia" w:ascii="仿宋_GB2312" w:hAnsi="仿宋_GB2312" w:eastAsia="仿宋_GB2312" w:cs="仿宋_GB2312"/>
          <w:sz w:val="32"/>
          <w:szCs w:val="32"/>
        </w:rPr>
        <w:t>采用定性分析法，组织收集决策背景、信息、数据等资料进行综合分析研究，全面查找风险源、风险点，并逐一进行评估。</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jc w:val="both"/>
        <w:textAlignment w:val="baseline"/>
        <w:rPr>
          <w:rFonts w:hint="default" w:ascii="黑体" w:hAnsi="黑体" w:eastAsia="黑体" w:cs="黑体"/>
          <w:sz w:val="32"/>
          <w:szCs w:val="32"/>
        </w:rPr>
      </w:pPr>
      <w:bookmarkStart w:id="10" w:name="_Toc16711"/>
      <w:r>
        <w:rPr>
          <w:rFonts w:ascii="黑体" w:hAnsi="黑体" w:eastAsia="黑体" w:cs="黑体"/>
          <w:sz w:val="32"/>
          <w:szCs w:val="32"/>
        </w:rPr>
        <w:t>六、评估方式</w:t>
      </w:r>
      <w:bookmarkEnd w:id="10"/>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评估方式具体包括征求相关部门意见、征求公众意见、组织公开听证、舆情分析跟踪等方式。</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ascii="仿宋_GB2312" w:hAnsi="仿宋_GB2312" w:eastAsia="仿宋_GB2312" w:cs="仿宋_GB2312"/>
        </w:rPr>
      </w:pPr>
    </w:p>
    <w:p>
      <w:pPr>
        <w:keepNext w:val="0"/>
        <w:keepLines w:val="0"/>
        <w:pageBreakBefore w:val="0"/>
        <w:widowControl/>
        <w:wordWrap/>
        <w:overflowPunct/>
        <w:topLinePunct w:val="0"/>
        <w:bidi w:val="0"/>
        <w:adjustRightInd w:val="0"/>
        <w:snapToGrid w:val="0"/>
        <w:spacing w:line="560" w:lineRule="exact"/>
        <w:textAlignment w:val="baseline"/>
        <w:rPr>
          <w:rFonts w:ascii="仿宋_GB2312" w:hAnsi="仿宋_GB2312" w:eastAsia="仿宋_GB2312" w:cs="仿宋_GB2312"/>
          <w:b/>
          <w:bCs/>
          <w:sz w:val="35"/>
          <w:szCs w:val="35"/>
        </w:rPr>
      </w:pPr>
      <w:r>
        <w:rPr>
          <w:rFonts w:hint="eastAsia" w:ascii="仿宋_GB2312" w:hAnsi="仿宋_GB2312" w:eastAsia="仿宋_GB2312" w:cs="仿宋_GB2312"/>
          <w:b/>
          <w:bCs/>
          <w:sz w:val="35"/>
          <w:szCs w:val="35"/>
        </w:rPr>
        <w:br w:type="page"/>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baseline"/>
        <w:outlineLvl w:val="0"/>
        <w:rPr>
          <w:rFonts w:ascii="仿宋_GB2312" w:hAnsi="仿宋_GB2312" w:eastAsia="仿宋_GB2312" w:cs="仿宋_GB2312"/>
          <w:b/>
          <w:bCs/>
          <w:sz w:val="35"/>
          <w:szCs w:val="35"/>
        </w:rPr>
      </w:pPr>
      <w:bookmarkStart w:id="11" w:name="_Toc12932"/>
      <w:r>
        <w:rPr>
          <w:rFonts w:hint="eastAsia" w:ascii="黑体" w:hAnsi="黑体" w:eastAsia="黑体" w:cs="黑体"/>
          <w:b/>
          <w:bCs/>
          <w:sz w:val="32"/>
          <w:szCs w:val="32"/>
        </w:rPr>
        <w:t>第二部分  风险评估内容</w:t>
      </w:r>
      <w:bookmarkEnd w:id="11"/>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针对《操作办法》的内容，分别就合法性、合理性、可行性、可控性进行综合分析研判：</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jc w:val="both"/>
        <w:textAlignment w:val="baseline"/>
        <w:rPr>
          <w:rFonts w:hint="default" w:ascii="黑体" w:hAnsi="黑体" w:eastAsia="黑体" w:cs="黑体"/>
          <w:sz w:val="32"/>
          <w:szCs w:val="32"/>
        </w:rPr>
      </w:pPr>
      <w:bookmarkStart w:id="12" w:name="_Toc16446"/>
      <w:r>
        <w:rPr>
          <w:rFonts w:ascii="黑体" w:hAnsi="黑体" w:eastAsia="黑体" w:cs="黑体"/>
          <w:sz w:val="32"/>
          <w:szCs w:val="32"/>
        </w:rPr>
        <w:t>一、合法性评估</w:t>
      </w:r>
      <w:bookmarkEnd w:id="12"/>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合法性评估主要在于评判《操作办法》的相关主体、制定依据以及制定程序等是否符合相关法律法规的规定。</w:t>
      </w:r>
    </w:p>
    <w:p>
      <w:pPr>
        <w:pStyle w:val="4"/>
        <w:keepNext w:val="0"/>
        <w:keepLines w:val="0"/>
        <w:pageBreakBefore w:val="0"/>
        <w:widowControl/>
        <w:kinsoku/>
        <w:wordWrap/>
        <w:overflowPunct/>
        <w:topLinePunct w:val="0"/>
        <w:autoSpaceDE/>
        <w:autoSpaceDN/>
        <w:bidi w:val="0"/>
        <w:adjustRightInd w:val="0"/>
        <w:snapToGrid w:val="0"/>
        <w:spacing w:before="0" w:after="0" w:line="560" w:lineRule="exact"/>
        <w:ind w:firstLine="642" w:firstLineChars="200"/>
        <w:jc w:val="both"/>
        <w:textAlignment w:val="baseline"/>
        <w:rPr>
          <w:rFonts w:ascii="楷体" w:hAnsi="楷体" w:eastAsia="楷体" w:cs="楷体"/>
          <w:szCs w:val="32"/>
        </w:rPr>
      </w:pPr>
      <w:bookmarkStart w:id="13" w:name="_Toc11691"/>
      <w:r>
        <w:rPr>
          <w:rFonts w:hint="eastAsia" w:ascii="楷体" w:hAnsi="楷体" w:eastAsia="楷体" w:cs="楷体"/>
          <w:szCs w:val="32"/>
        </w:rPr>
        <w:t>（一）决策承办单位主体资格</w:t>
      </w:r>
      <w:bookmarkEnd w:id="13"/>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根据《市场监管总局、海关总署关于免予办理强制性产品认证工作有关安排的公告》（公告〔2019〕13号）第三条及第五条：“自2019年4月1日起，由市场监管部门承接免予办理强制性产品认证的相关工作。对属于强制性产品认证监管范围且符合免予办理强制性产品认证有关条件的进口货物，申报单位应在办理报关前取得免予办理强制性产品认证证明。”之规定，深圳市市场监督管理局负责承接CCC免办的监督管理工作。《重大行政决策程序暂行条例》第十一条规定，决策机关决定启动决策程序的，应当明确决策事项的承办单位，由决策承办单位负责重大行政决策草案的拟订等工作。因此，深圳市市场监督管理局具有《操作办法》的承办单位主体资格。</w:t>
      </w:r>
    </w:p>
    <w:p>
      <w:pPr>
        <w:pStyle w:val="4"/>
        <w:keepNext w:val="0"/>
        <w:keepLines w:val="0"/>
        <w:pageBreakBefore w:val="0"/>
        <w:widowControl/>
        <w:kinsoku/>
        <w:wordWrap/>
        <w:overflowPunct/>
        <w:topLinePunct w:val="0"/>
        <w:autoSpaceDE/>
        <w:autoSpaceDN/>
        <w:bidi w:val="0"/>
        <w:adjustRightInd w:val="0"/>
        <w:snapToGrid w:val="0"/>
        <w:spacing w:before="0" w:after="0" w:line="560" w:lineRule="exact"/>
        <w:ind w:firstLine="642" w:firstLineChars="200"/>
        <w:jc w:val="both"/>
        <w:textAlignment w:val="baseline"/>
        <w:rPr>
          <w:rFonts w:ascii="楷体" w:hAnsi="楷体" w:eastAsia="楷体" w:cs="楷体"/>
          <w:szCs w:val="32"/>
        </w:rPr>
      </w:pPr>
      <w:bookmarkStart w:id="14" w:name="_Toc12487"/>
      <w:r>
        <w:rPr>
          <w:rFonts w:hint="eastAsia" w:ascii="楷体" w:hAnsi="楷体" w:eastAsia="楷体" w:cs="楷体"/>
          <w:szCs w:val="32"/>
        </w:rPr>
        <w:t>（二）制定依据</w:t>
      </w:r>
      <w:bookmarkEnd w:id="14"/>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CCC免办证明事项依据《强制性产品认证管理规定》设立，企业申请并提交相关证明材料、责任担保书、产品符合性声明（包括型式试验报告）等资料，并根据需要进行产品检测，经批准取得《免予办理强制性产品认证证明》后，方可进口，并按照申报用途使用。根据《市场监管总局关于明确免予办理强制性产品认证工作要求的通知》（国市监认证函〔2019〕153号）规定，CCC免办工作由各省、自治区、直辖市及新疆生产建设兵团市场监管局（厅、委）实施，或者视情况下放给下级市场监管部门实施，并明确了CCC免办的申请条件、办理要求、工作要求、审核及后续监管要求，规范和便利CCC免办证明的审核监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2022年6月27日，《深圳市市场监督管理局关于印发试行免予办理强制性产品认证便捷通道改革实施方案的通知》（深市监〔2022〕207号）（以下简称“《实施方案》”）颁布施行，在CCC免办管理系统中对符合条件的企业开设便捷通道。此次制定《操作办法》是在符合国家政策以及总结试点经验的基础上对《实施方案》做了进一步完善，为开展CCC免办，畅通CCC免办便捷通道提供明晰的、法定化的指引，符合《实施方案》的规定。并且，《操作办法》明确以《中华人民共和国认证认可条例》《强制性产品认证管理规定》《市场监管总局关于明确免予办理强制性产品认证有关工作要求的通知》（国市监认证函〔2019〕153号）等行政法规、规章和国家有关规定为制定依据。故，《操作办法》有明确的上位法依据。</w:t>
      </w:r>
    </w:p>
    <w:p>
      <w:pPr>
        <w:pStyle w:val="4"/>
        <w:keepNext w:val="0"/>
        <w:keepLines w:val="0"/>
        <w:pageBreakBefore w:val="0"/>
        <w:widowControl/>
        <w:kinsoku/>
        <w:wordWrap/>
        <w:overflowPunct/>
        <w:topLinePunct w:val="0"/>
        <w:autoSpaceDE/>
        <w:autoSpaceDN/>
        <w:bidi w:val="0"/>
        <w:adjustRightInd w:val="0"/>
        <w:snapToGrid w:val="0"/>
        <w:spacing w:before="0" w:after="0" w:line="560" w:lineRule="exact"/>
        <w:ind w:firstLine="642" w:firstLineChars="200"/>
        <w:jc w:val="both"/>
        <w:textAlignment w:val="baseline"/>
        <w:rPr>
          <w:rFonts w:ascii="楷体" w:hAnsi="楷体" w:eastAsia="楷体" w:cs="楷体"/>
          <w:szCs w:val="32"/>
        </w:rPr>
      </w:pPr>
      <w:bookmarkStart w:id="15" w:name="_Toc22459"/>
      <w:r>
        <w:rPr>
          <w:rFonts w:hint="eastAsia" w:ascii="楷体" w:hAnsi="楷体" w:eastAsia="楷体" w:cs="楷体"/>
          <w:szCs w:val="32"/>
        </w:rPr>
        <w:t>（三）制定程序</w:t>
      </w:r>
      <w:bookmarkEnd w:id="15"/>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如前所述，《操作办法》由深圳市市场监督管理局起草，期间历经起草单位内部意见征求阶段、社会公众公开征求意见阶段、组织听证阶段以及专家论证阶段，并进行风险评估，符合《深圳市人民政府重大行政决策程序规定》第四条、第五条、第六条、第八条、第九条、第十条的相关程序规定。</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jc w:val="both"/>
        <w:textAlignment w:val="baseline"/>
        <w:rPr>
          <w:rFonts w:hint="default" w:ascii="黑体" w:hAnsi="黑体" w:eastAsia="黑体" w:cs="黑体"/>
          <w:sz w:val="32"/>
          <w:szCs w:val="32"/>
        </w:rPr>
      </w:pPr>
      <w:bookmarkStart w:id="16" w:name="_Toc23216"/>
      <w:r>
        <w:rPr>
          <w:rFonts w:ascii="黑体" w:hAnsi="黑体" w:eastAsia="黑体" w:cs="黑体"/>
          <w:sz w:val="32"/>
          <w:szCs w:val="32"/>
        </w:rPr>
        <w:t>二、合理性评估</w:t>
      </w:r>
      <w:bookmarkEnd w:id="16"/>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合理性评估在于评判《操作办法》制定的必要性。综合当前CCC免办制度试点的实际情况，《操作办法》制定的必要性可以归纳为以下三个方面：</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both"/>
        <w:textAlignment w:val="baseline"/>
        <w:outlineLvl w:val="2"/>
        <w:rPr>
          <w:rFonts w:ascii="楷体" w:hAnsi="楷体" w:eastAsia="楷体" w:cs="楷体"/>
          <w:b/>
          <w:sz w:val="32"/>
          <w:szCs w:val="32"/>
        </w:rPr>
      </w:pPr>
      <w:bookmarkStart w:id="17" w:name="_Toc4175"/>
      <w:r>
        <w:rPr>
          <w:rFonts w:hint="eastAsia" w:ascii="楷体" w:hAnsi="楷体" w:eastAsia="楷体" w:cs="楷体"/>
          <w:b/>
          <w:sz w:val="32"/>
          <w:szCs w:val="32"/>
        </w:rPr>
        <w:t>（一）满足国家推行CCC免办的政策导向</w:t>
      </w:r>
      <w:bookmarkEnd w:id="17"/>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2021年11月25日，国务院发布《国务院关于开展营商环境创新试点工作的意见》（国发〔2021〕24号），根据《意见》安排，“首批营商环境创新试点改革事项清单”第46项要求在“CCC免办及特殊用途进口产品检测处理管理系统”中为符合条件的企业开设便捷通道。为了促进国际贸易的发展，满足国家推行CCC免办的政策导向，深圳市于2022年6月27日印发《实施方案》。按照上级要求以及考虑到试点政策对申请人具备条件设置了要求，该《实施方案》须制定规范性文件予以公示实施。市市场监督管理局就该《实施方案》配套起草制定《操作办法》，不仅有利于满足企业对CCC免办的需要，便于企业申报，还提升了市监局对CCC免办审核和监管工作效率，服务本市贸易便利化，进一步构建开放、包容的良好营商环境。目前，《操作办法》的内容较为丰富和具体，能确保立法需求得到充分的体现。</w:t>
      </w:r>
    </w:p>
    <w:p>
      <w:pPr>
        <w:pStyle w:val="4"/>
        <w:keepNext w:val="0"/>
        <w:keepLines w:val="0"/>
        <w:pageBreakBefore w:val="0"/>
        <w:widowControl/>
        <w:kinsoku/>
        <w:wordWrap/>
        <w:overflowPunct/>
        <w:topLinePunct w:val="0"/>
        <w:autoSpaceDE/>
        <w:autoSpaceDN/>
        <w:bidi w:val="0"/>
        <w:adjustRightInd w:val="0"/>
        <w:snapToGrid w:val="0"/>
        <w:spacing w:before="0" w:after="0" w:line="560" w:lineRule="exact"/>
        <w:ind w:firstLine="642" w:firstLineChars="200"/>
        <w:jc w:val="both"/>
        <w:textAlignment w:val="baseline"/>
        <w:rPr>
          <w:rFonts w:ascii="楷体" w:hAnsi="楷体" w:eastAsia="楷体" w:cs="楷体"/>
          <w:szCs w:val="32"/>
        </w:rPr>
      </w:pPr>
      <w:bookmarkStart w:id="18" w:name="_Toc554"/>
      <w:r>
        <w:rPr>
          <w:rFonts w:hint="eastAsia" w:ascii="楷体" w:hAnsi="楷体" w:eastAsia="楷体" w:cs="楷体"/>
          <w:szCs w:val="32"/>
        </w:rPr>
        <w:t>（二）响应《深圳市建设营商环境创新试点城市实施方案》和深圳市建设营商环境创新试点城市首批改革事项清单的战略要求，促进CCC免办制度落到实地</w:t>
      </w:r>
      <w:bookmarkEnd w:id="18"/>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2022年1月，深圳市印发实施《深圳市建设营商环境创新试点城市实施方案》，提出推进国际贸易便利化改革，制定企业准入标准，对CCC免办证书申办量较大的企业开设便捷通道。同时，深圳市建设营商环境创新试点城市首批改革事项清单提出在 CCC免办管理系统中对符合条件的企业开设便捷通道，通过制定企业准入标准，对CCC免办证书申办量较大的企业实行自我承诺、自我填报、自动获证。制定并执行CCC免办产品入库、领用、使用、归还、退运或报废等管理要求，及时追溯CCC免办产品流向。建立完善监管机制，通过首月现场核查、年度专项检查、执法办案检查、部门联合检查、记录检查信息、公示处理结果等方式，全面加强CCC免办产品事中事后监管。因此，在《实施方案》的基础上，制定《操作办法》将CCC免办制度加以明确和完善，是促进CCC免办制度落到实地的重要举措，是响应《深圳市建设营商环境创新试点城市实施方案》和深圳市建设营商环境创新试点城市首批改革事项清单的战略要求的应有之意。</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both"/>
        <w:textAlignment w:val="baseline"/>
        <w:outlineLvl w:val="2"/>
        <w:rPr>
          <w:rFonts w:ascii="楷体" w:hAnsi="楷体" w:eastAsia="楷体" w:cs="楷体"/>
          <w:b/>
          <w:sz w:val="32"/>
          <w:szCs w:val="32"/>
        </w:rPr>
      </w:pPr>
      <w:bookmarkStart w:id="19" w:name="_Toc18918"/>
      <w:r>
        <w:rPr>
          <w:rFonts w:hint="eastAsia" w:ascii="楷体" w:hAnsi="楷体" w:eastAsia="楷体" w:cs="楷体"/>
          <w:b/>
          <w:sz w:val="32"/>
          <w:szCs w:val="32"/>
        </w:rPr>
        <w:t>（三）明确CCC免办申请管理要求，有效填补上位法空白</w:t>
      </w:r>
      <w:bookmarkEnd w:id="19"/>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我国现有规定里，未对CCC免办的具体实施要求进行明确，实际操作中存在尺度不一、主观性较大的情形。针对上述情况，《操作办法》明确了具体的免办情形、申请人情况核实、1年的使用核销期限和延期申请条件等内容，填补了上位法的空白，固化前期改革试点成效。</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jc w:val="both"/>
        <w:textAlignment w:val="baseline"/>
        <w:rPr>
          <w:rFonts w:hint="default" w:ascii="黑体" w:hAnsi="黑体" w:eastAsia="黑体" w:cs="黑体"/>
          <w:sz w:val="32"/>
          <w:szCs w:val="32"/>
        </w:rPr>
      </w:pPr>
      <w:bookmarkStart w:id="20" w:name="_Toc23165"/>
      <w:r>
        <w:rPr>
          <w:rFonts w:ascii="黑体" w:hAnsi="黑体" w:eastAsia="黑体" w:cs="黑体"/>
          <w:sz w:val="32"/>
          <w:szCs w:val="32"/>
        </w:rPr>
        <w:t>三、可行性评估</w:t>
      </w:r>
      <w:bookmarkEnd w:id="20"/>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可行性评估在于评判《操作办法》的实施时机是否周密、成熟，符合地区、行业发展需求。决策承办单位在总结此前实践经验，并充分吸收了《实施方案》的相关规定的基础上，完成《操作办法》的起草，其实施的可行性主要体现在以下几个方面：</w:t>
      </w:r>
    </w:p>
    <w:p>
      <w:pPr>
        <w:pStyle w:val="4"/>
        <w:keepNext w:val="0"/>
        <w:keepLines w:val="0"/>
        <w:pageBreakBefore w:val="0"/>
        <w:widowControl/>
        <w:kinsoku/>
        <w:wordWrap/>
        <w:overflowPunct/>
        <w:topLinePunct w:val="0"/>
        <w:autoSpaceDE/>
        <w:autoSpaceDN/>
        <w:bidi w:val="0"/>
        <w:adjustRightInd w:val="0"/>
        <w:snapToGrid w:val="0"/>
        <w:spacing w:before="0" w:after="0" w:line="560" w:lineRule="exact"/>
        <w:ind w:firstLine="642" w:firstLineChars="200"/>
        <w:jc w:val="both"/>
        <w:textAlignment w:val="baseline"/>
        <w:rPr>
          <w:rFonts w:ascii="楷体" w:hAnsi="楷体" w:eastAsia="楷体" w:cs="楷体"/>
          <w:szCs w:val="32"/>
        </w:rPr>
      </w:pPr>
      <w:bookmarkStart w:id="21" w:name="_bookmark24"/>
      <w:bookmarkEnd w:id="21"/>
      <w:bookmarkStart w:id="22" w:name="_Toc29253"/>
      <w:r>
        <w:rPr>
          <w:rFonts w:hint="eastAsia" w:ascii="楷体" w:hAnsi="楷体" w:eastAsia="楷体" w:cs="楷体"/>
          <w:szCs w:val="32"/>
        </w:rPr>
        <w:t>（一）理顺职责体系和管理流程，提升市监局对CCC免办审核和监管工作效率</w:t>
      </w:r>
      <w:bookmarkEnd w:id="22"/>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随着深圳CCC认证工作的不断深入推进，一味地要求CCC认证已无法满足深圳CCC认证管理工作面临的新形势和新需求，CCC免办制度应运而生。为进一步规范和落实CCC免办制度，详细厘清职责体系和管理流程，本次起草的《操作办法》对深圳市CCC免办制度作了相对更加详细、明确的规定，同时规定主管部门与协管部门的职责，进一步理顺职责体系，细化具体申请条件和程序，规范具体申请文件标准文本，能使其更</w:t>
      </w:r>
      <w:bookmarkStart w:id="23" w:name="_bookmark23"/>
      <w:bookmarkEnd w:id="23"/>
      <w:r>
        <w:rPr>
          <w:rFonts w:hint="eastAsia" w:ascii="仿宋_GB2312" w:hAnsi="仿宋_GB2312" w:eastAsia="仿宋_GB2312" w:cs="仿宋_GB2312"/>
          <w:sz w:val="32"/>
          <w:szCs w:val="32"/>
        </w:rPr>
        <w:t>加符合工作实际，极大提升了市监局CCC免办审核及后续监管的工作效率。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针对CCC免办的后续监管工作，《操作办法》中</w:t>
      </w:r>
      <w:r>
        <w:rPr>
          <w:rFonts w:hint="eastAsia" w:ascii="仿宋_GB2312" w:hAnsi="仿宋_GB2312" w:eastAsia="仿宋_GB2312" w:cs="仿宋_GB2312"/>
          <w:color w:val="auto"/>
          <w:sz w:val="32"/>
          <w:szCs w:val="32"/>
        </w:rPr>
        <w:t>就有“事后监督措施”等</w:t>
      </w:r>
      <w:r>
        <w:rPr>
          <w:rFonts w:hint="eastAsia" w:ascii="仿宋_GB2312" w:hAnsi="仿宋_GB2312" w:eastAsia="仿宋_GB2312" w:cs="仿宋_GB2312"/>
          <w:sz w:val="32"/>
          <w:szCs w:val="32"/>
        </w:rPr>
        <w:t>内容。接下来，深圳市市场监管局将以《操作办法》为契机，加强CCC免办监管，持续完善CCC免办便利化举措，全力支持引导企业用好用足政策红利，</w:t>
      </w:r>
      <w:r>
        <w:rPr>
          <w:rFonts w:ascii="仿宋_GB2312" w:hAnsi="仿宋_GB2312" w:eastAsia="仿宋_GB2312" w:cs="仿宋_GB2312"/>
          <w:sz w:val="32"/>
          <w:szCs w:val="32"/>
        </w:rPr>
        <w:t>助力更多企业参与试点，</w:t>
      </w:r>
      <w:r>
        <w:rPr>
          <w:rFonts w:hint="eastAsia" w:ascii="仿宋_GB2312" w:hAnsi="仿宋_GB2312" w:eastAsia="仿宋_GB2312" w:cs="仿宋_GB2312"/>
          <w:sz w:val="32"/>
          <w:szCs w:val="32"/>
        </w:rPr>
        <w:t>为企业开通CCC免办便捷通道、推动跨境贸易、激发企业活力提供助力，</w:t>
      </w:r>
      <w:r>
        <w:rPr>
          <w:rFonts w:ascii="仿宋_GB2312" w:hAnsi="仿宋_GB2312" w:eastAsia="仿宋_GB2312" w:cs="仿宋_GB2312"/>
          <w:sz w:val="32"/>
          <w:szCs w:val="32"/>
        </w:rPr>
        <w:t>进一步增强</w:t>
      </w:r>
      <w:r>
        <w:rPr>
          <w:rFonts w:hint="eastAsia" w:ascii="仿宋_GB2312" w:hAnsi="仿宋_GB2312" w:eastAsia="仿宋_GB2312" w:cs="仿宋_GB2312"/>
          <w:sz w:val="32"/>
          <w:szCs w:val="32"/>
        </w:rPr>
        <w:t>深圳</w:t>
      </w:r>
      <w:r>
        <w:rPr>
          <w:rFonts w:ascii="仿宋_GB2312" w:hAnsi="仿宋_GB2312" w:eastAsia="仿宋_GB2312" w:cs="仿宋_GB2312"/>
          <w:sz w:val="32"/>
          <w:szCs w:val="32"/>
        </w:rPr>
        <w:t>市跨境贸易的便利化程度。</w:t>
      </w:r>
      <w:r>
        <w:rPr>
          <w:rFonts w:hint="eastAsia" w:ascii="仿宋_GB2312" w:hAnsi="仿宋_GB2312" w:eastAsia="仿宋_GB2312" w:cs="仿宋_GB2312"/>
          <w:sz w:val="32"/>
          <w:szCs w:val="32"/>
        </w:rPr>
        <w:t>同时，做好CCC免办产品后续监管工作，进一步助推深圳市经济社会高质量发展，为促进粤港澳大湾区外贸发展方面添写新篇章。</w:t>
      </w:r>
    </w:p>
    <w:p>
      <w:pPr>
        <w:pStyle w:val="4"/>
        <w:keepNext w:val="0"/>
        <w:keepLines w:val="0"/>
        <w:pageBreakBefore w:val="0"/>
        <w:widowControl/>
        <w:kinsoku/>
        <w:wordWrap/>
        <w:overflowPunct/>
        <w:topLinePunct w:val="0"/>
        <w:autoSpaceDE/>
        <w:autoSpaceDN/>
        <w:bidi w:val="0"/>
        <w:adjustRightInd w:val="0"/>
        <w:snapToGrid w:val="0"/>
        <w:spacing w:before="0" w:after="0" w:line="560" w:lineRule="exact"/>
        <w:ind w:firstLine="642" w:firstLineChars="200"/>
        <w:jc w:val="both"/>
        <w:textAlignment w:val="baseline"/>
        <w:rPr>
          <w:rFonts w:ascii="楷体" w:hAnsi="楷体" w:eastAsia="楷体" w:cs="楷体"/>
          <w:szCs w:val="32"/>
        </w:rPr>
      </w:pPr>
      <w:bookmarkStart w:id="24" w:name="_Toc2931"/>
      <w:r>
        <w:rPr>
          <w:rFonts w:hint="eastAsia" w:ascii="楷体" w:hAnsi="楷体" w:eastAsia="楷体" w:cs="楷体"/>
          <w:szCs w:val="32"/>
        </w:rPr>
        <w:t>（二）有效积累试点经验，保证了《操作办法》的可操作性</w:t>
      </w:r>
      <w:bookmarkEnd w:id="24"/>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为优化营商环境，促进贸易便利化，推进跨境贸易发展，各地都在探索尝试运用企业诚信管理模式，开展企业自我承诺自助服务方式。例如，上海市在全国率先实施，首批16家信用记录良好、追溯体系完善的CCC免办申报企业开始使用这一便捷通道。2022年7月1日，深圳市在国家市场监督管理总局的支持指导下，开始试点CCC免办便捷通道，企业可选择便捷通道自主申报、自我承诺、自动获证。截至2023年2月，全市行业规模最大的两家CCC产品进口企业通过便捷通道共申报进口103批次，占总办理量的75.2%，便捷通道进口货值达1.03亿元，占企业进口总货值的87.3%，大大缩短了企业物流和时间成本。</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目前，该事项已由深圳市市场监管局正常实施，因此深圳市市场监督管理局在充分调研各地试点经验，结合本市实际，研究制定了《操作办法》，具备现实可行性。《操作办法》在免予办理强制性产品认证的基础上，运用诚信管理举措，规范和便利CCC免办工作，探索试行CCC免办便捷通道，对信用记录良好、追溯体系完善、申报批次较多的企业开通CCC免办便捷通道，实现“自我承诺、自动填报、自动获证”，企业CCC免办办理实现“无纸化、零等待”。《操作办法》的制定符合“从实践中来，到实践中去”，极大地增强了可操作性。</w:t>
      </w:r>
    </w:p>
    <w:p>
      <w:pPr>
        <w:pStyle w:val="4"/>
        <w:keepNext w:val="0"/>
        <w:keepLines w:val="0"/>
        <w:pageBreakBefore w:val="0"/>
        <w:widowControl/>
        <w:kinsoku/>
        <w:wordWrap/>
        <w:overflowPunct/>
        <w:topLinePunct w:val="0"/>
        <w:autoSpaceDE/>
        <w:autoSpaceDN/>
        <w:bidi w:val="0"/>
        <w:adjustRightInd w:val="0"/>
        <w:snapToGrid w:val="0"/>
        <w:spacing w:before="0" w:after="0" w:line="560" w:lineRule="exact"/>
        <w:ind w:firstLine="642" w:firstLineChars="200"/>
        <w:jc w:val="both"/>
        <w:textAlignment w:val="baseline"/>
        <w:rPr>
          <w:rFonts w:ascii="楷体" w:hAnsi="楷体" w:eastAsia="楷体" w:cs="楷体"/>
          <w:szCs w:val="32"/>
        </w:rPr>
      </w:pPr>
      <w:bookmarkStart w:id="25" w:name="_Toc9923"/>
      <w:r>
        <w:rPr>
          <w:rFonts w:hint="eastAsia" w:ascii="楷体" w:hAnsi="楷体" w:eastAsia="楷体" w:cs="楷体"/>
          <w:szCs w:val="32"/>
        </w:rPr>
        <w:t>（三）充分征求并采纳各方意见，增强了《操作办法》的制定和施行的可行性依据</w:t>
      </w:r>
      <w:bookmarkEnd w:id="25"/>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操作办法》制定研究期间，深圳市市场监督管理局以分享交流会形式，汇集各部门需求、工作计划等并研究修改完善。2023年4月20日至5月28日，深圳市市场监督管理局就《操作办法》向社会各界广泛征求意见，得到了广大公众的关注。市民针对《操作办法》提出了3条反馈意见，分别为：1.申请单位具体条件“注册或者经营地为深圳，产品实际从深圳进口，且最终使用地为深圳”中，建议不限制最终使用地为深圳；2.规定“本操作办法自发文之日起施行”，建议修改为“本操作办法自 XX年 XX月 XX日起施行” ；3.建议明确该操作办法的施行日期。以上市民的反馈意见均被采纳。综上，各单位及社会公众提出的意见，深圳市市场监督管理局均认真研究并汇总统筹研究吸纳，增强了《操作办法》的制定和施行的可行性依据。</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2" w:firstLineChars="200"/>
        <w:jc w:val="both"/>
        <w:textAlignment w:val="baseline"/>
        <w:rPr>
          <w:rFonts w:hint="default" w:ascii="黑体" w:hAnsi="黑体" w:eastAsia="黑体" w:cs="黑体"/>
          <w:sz w:val="32"/>
          <w:szCs w:val="32"/>
        </w:rPr>
      </w:pPr>
      <w:bookmarkStart w:id="26" w:name="_Toc18167"/>
      <w:r>
        <w:rPr>
          <w:rFonts w:ascii="黑体" w:hAnsi="黑体" w:eastAsia="黑体" w:cs="黑体"/>
          <w:sz w:val="32"/>
          <w:szCs w:val="32"/>
        </w:rPr>
        <w:t>四、可控性评估</w:t>
      </w:r>
      <w:bookmarkEnd w:id="26"/>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可控性评估在于确定《操作办法》的施行是否存在公共安全隐患、引发群体性事件、造成重大社会负面影响等社会稳定问题，以及对可能引发社会稳定风险的可控程度、预防和化解相应措施。</w:t>
      </w:r>
    </w:p>
    <w:p>
      <w:pPr>
        <w:pStyle w:val="4"/>
        <w:keepNext w:val="0"/>
        <w:keepLines w:val="0"/>
        <w:pageBreakBefore w:val="0"/>
        <w:widowControl/>
        <w:kinsoku/>
        <w:wordWrap/>
        <w:overflowPunct/>
        <w:topLinePunct w:val="0"/>
        <w:autoSpaceDE/>
        <w:autoSpaceDN/>
        <w:bidi w:val="0"/>
        <w:adjustRightInd w:val="0"/>
        <w:snapToGrid w:val="0"/>
        <w:spacing w:before="0" w:after="0" w:line="560" w:lineRule="exact"/>
        <w:ind w:firstLine="642" w:firstLineChars="200"/>
        <w:jc w:val="both"/>
        <w:textAlignment w:val="baseline"/>
        <w:rPr>
          <w:rFonts w:ascii="楷体" w:hAnsi="楷体" w:eastAsia="楷体" w:cs="楷体"/>
          <w:szCs w:val="32"/>
        </w:rPr>
      </w:pPr>
      <w:bookmarkStart w:id="27" w:name="_Toc23523"/>
      <w:r>
        <w:rPr>
          <w:rFonts w:hint="eastAsia" w:ascii="楷体" w:hAnsi="楷体" w:eastAsia="楷体" w:cs="楷体"/>
          <w:szCs w:val="32"/>
        </w:rPr>
        <w:t>（一）可能存在的风险点</w:t>
      </w:r>
      <w:bookmarkEnd w:id="27"/>
    </w:p>
    <w:p>
      <w:pPr>
        <w:pStyle w:val="7"/>
        <w:keepNext w:val="0"/>
        <w:keepLines w:val="0"/>
        <w:pageBreakBefore w:val="0"/>
        <w:widowControl/>
        <w:wordWrap/>
        <w:overflowPunct/>
        <w:topLinePunct w:val="0"/>
        <w:bidi w:val="0"/>
        <w:adjustRightInd w:val="0"/>
        <w:snapToGrid w:val="0"/>
        <w:spacing w:before="0" w:after="0" w:line="560" w:lineRule="exact"/>
        <w:ind w:firstLine="640" w:firstLineChars="200"/>
        <w:jc w:val="both"/>
        <w:textAlignment w:val="baseline"/>
        <w:rPr>
          <w:rFonts w:ascii="仿宋_GB2312" w:hAnsi="仿宋_GB2312" w:eastAsia="仿宋_GB2312" w:cs="仿宋_GB2312"/>
          <w:b w:val="0"/>
          <w:bCs w:val="0"/>
        </w:rPr>
      </w:pPr>
      <w:r>
        <w:rPr>
          <w:rFonts w:hint="eastAsia" w:ascii="仿宋_GB2312" w:hAnsi="仿宋_GB2312" w:eastAsia="仿宋_GB2312" w:cs="仿宋_GB2312"/>
          <w:b w:val="0"/>
          <w:bCs w:val="0"/>
        </w:rPr>
        <w:t>《操作办法》内容上既包括原则性的指导建议，也有明确的硬性量化要求，可能存在的风险如下：</w:t>
      </w:r>
    </w:p>
    <w:p>
      <w:pPr>
        <w:pStyle w:val="7"/>
        <w:keepNext w:val="0"/>
        <w:keepLines w:val="0"/>
        <w:pageBreakBefore w:val="0"/>
        <w:widowControl/>
        <w:wordWrap/>
        <w:overflowPunct/>
        <w:topLinePunct w:val="0"/>
        <w:bidi w:val="0"/>
        <w:adjustRightInd w:val="0"/>
        <w:snapToGrid w:val="0"/>
        <w:spacing w:before="0" w:after="0" w:line="560" w:lineRule="exact"/>
        <w:ind w:firstLine="642"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1.政策宣传和舆论引导不足</w:t>
      </w:r>
    </w:p>
    <w:p>
      <w:pPr>
        <w:pStyle w:val="7"/>
        <w:keepNext w:val="0"/>
        <w:keepLines w:val="0"/>
        <w:pageBreakBefore w:val="0"/>
        <w:widowControl/>
        <w:wordWrap/>
        <w:overflowPunct/>
        <w:topLinePunct w:val="0"/>
        <w:bidi w:val="0"/>
        <w:adjustRightInd w:val="0"/>
        <w:snapToGrid w:val="0"/>
        <w:spacing w:before="0" w:after="0" w:line="560" w:lineRule="exact"/>
        <w:ind w:firstLine="640" w:firstLineChars="200"/>
        <w:jc w:val="both"/>
        <w:textAlignment w:val="baseline"/>
        <w:rPr>
          <w:rFonts w:ascii="仿宋_GB2312" w:hAnsi="仿宋_GB2312" w:eastAsia="仿宋_GB2312" w:cs="仿宋_GB2312"/>
          <w:b w:val="0"/>
          <w:bCs w:val="0"/>
        </w:rPr>
      </w:pPr>
      <w:r>
        <w:rPr>
          <w:rFonts w:hint="eastAsia" w:ascii="仿宋_GB2312" w:hAnsi="仿宋_GB2312" w:eastAsia="仿宋_GB2312" w:cs="仿宋_GB2312"/>
          <w:b w:val="0"/>
          <w:bCs w:val="0"/>
        </w:rPr>
        <w:t>CCC免办工作的顺利开展需要政府的大力宣传和媒体的舆论引导，如政府宣传力度和舆论引导不足，可能出现符合CCC免办申请条件的企业无法得知相关信息而错过申请，企业在申请时难以界定相关申请条件和要求，甚至企业在申请后因不熟悉相关规定而出现违规使用的情形。</w:t>
      </w:r>
    </w:p>
    <w:p>
      <w:pPr>
        <w:pStyle w:val="7"/>
        <w:keepNext w:val="0"/>
        <w:keepLines w:val="0"/>
        <w:pageBreakBefore w:val="0"/>
        <w:widowControl/>
        <w:wordWrap/>
        <w:overflowPunct/>
        <w:topLinePunct w:val="0"/>
        <w:bidi w:val="0"/>
        <w:adjustRightInd w:val="0"/>
        <w:snapToGrid w:val="0"/>
        <w:spacing w:before="0" w:after="0" w:line="560" w:lineRule="exact"/>
        <w:ind w:firstLine="642"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2.缺少风险预警和防范机制</w:t>
      </w:r>
    </w:p>
    <w:p>
      <w:pPr>
        <w:pStyle w:val="7"/>
        <w:keepNext w:val="0"/>
        <w:keepLines w:val="0"/>
        <w:pageBreakBefore w:val="0"/>
        <w:widowControl/>
        <w:wordWrap/>
        <w:overflowPunct/>
        <w:topLinePunct w:val="0"/>
        <w:bidi w:val="0"/>
        <w:adjustRightInd w:val="0"/>
        <w:snapToGrid w:val="0"/>
        <w:spacing w:before="0" w:after="0" w:line="560" w:lineRule="exact"/>
        <w:ind w:firstLine="640" w:firstLineChars="200"/>
        <w:jc w:val="both"/>
        <w:textAlignment w:val="baseline"/>
        <w:rPr>
          <w:rFonts w:ascii="仿宋_GB2312" w:hAnsi="仿宋_GB2312" w:eastAsia="仿宋_GB2312" w:cs="仿宋_GB2312"/>
          <w:b w:val="0"/>
          <w:bCs w:val="0"/>
        </w:rPr>
      </w:pPr>
      <w:r>
        <w:rPr>
          <w:rFonts w:hint="eastAsia" w:ascii="仿宋_GB2312" w:hAnsi="仿宋_GB2312" w:eastAsia="仿宋_GB2312" w:cs="仿宋_GB2312"/>
          <w:b w:val="0"/>
          <w:bCs w:val="0"/>
        </w:rPr>
        <w:t>规范性文件的制定与修改应符合时代发展和社会需求。在《操作办法》实施后，如果无法有效建立风险预警和防范机制，《操作办法》将出现与国家政策、社会发展和企业需求相矛盾的现象，在一定程度上将制约甚至损害区域发展。</w:t>
      </w:r>
    </w:p>
    <w:p>
      <w:pPr>
        <w:pStyle w:val="7"/>
        <w:keepNext w:val="0"/>
        <w:keepLines w:val="0"/>
        <w:pageBreakBefore w:val="0"/>
        <w:widowControl/>
        <w:wordWrap/>
        <w:overflowPunct/>
        <w:topLinePunct w:val="0"/>
        <w:bidi w:val="0"/>
        <w:adjustRightInd w:val="0"/>
        <w:snapToGrid w:val="0"/>
        <w:spacing w:before="0" w:after="0" w:line="560" w:lineRule="exact"/>
        <w:ind w:firstLine="642" w:firstLineChars="200"/>
        <w:jc w:val="both"/>
        <w:textAlignment w:val="baseline"/>
        <w:rPr>
          <w:rFonts w:ascii="仿宋_GB2312" w:hAnsi="仿宋_GB2312" w:eastAsia="仿宋_GB2312" w:cs="仿宋_GB2312"/>
        </w:rPr>
      </w:pPr>
      <w:r>
        <w:rPr>
          <w:rFonts w:hint="eastAsia" w:ascii="仿宋_GB2312" w:hAnsi="仿宋_GB2312" w:eastAsia="仿宋_GB2312" w:cs="仿宋_GB2312"/>
        </w:rPr>
        <w:t>3.缺乏部门信息共享机制</w:t>
      </w:r>
    </w:p>
    <w:p>
      <w:pPr>
        <w:pStyle w:val="7"/>
        <w:keepNext w:val="0"/>
        <w:keepLines w:val="0"/>
        <w:pageBreakBefore w:val="0"/>
        <w:widowControl/>
        <w:wordWrap/>
        <w:overflowPunct/>
        <w:topLinePunct w:val="0"/>
        <w:bidi w:val="0"/>
        <w:adjustRightInd w:val="0"/>
        <w:snapToGrid w:val="0"/>
        <w:spacing w:before="0" w:after="0" w:line="560" w:lineRule="exact"/>
        <w:ind w:firstLine="640" w:firstLineChars="200"/>
        <w:jc w:val="both"/>
        <w:textAlignment w:val="baseline"/>
        <w:rPr>
          <w:rFonts w:ascii="仿宋_GB2312" w:hAnsi="仿宋_GB2312" w:eastAsia="仿宋_GB2312" w:cs="仿宋_GB2312"/>
          <w:b w:val="0"/>
          <w:bCs w:val="0"/>
        </w:rPr>
      </w:pPr>
      <w:r>
        <w:rPr>
          <w:rFonts w:hint="eastAsia" w:ascii="仿宋_GB2312" w:hAnsi="仿宋_GB2312" w:eastAsia="仿宋_GB2312" w:cs="仿宋_GB2312"/>
          <w:b w:val="0"/>
          <w:bCs w:val="0"/>
        </w:rPr>
        <w:t>CCC免办工作的顺利开展离不开政府部门间的联动发力，在企业申请开设CCC免办便捷通道时，需要对该企业的申请条件和申请资质进行筛查。在这个过程中，如无法与其他部门做到部门联动和信息共享，那么就容易出现企业虚假申报现象。如出现企业虚假申报现象，市监部门还需联合其他有关部门对该企业进行依法查处。</w:t>
      </w:r>
    </w:p>
    <w:p>
      <w:pPr>
        <w:pStyle w:val="4"/>
        <w:keepNext w:val="0"/>
        <w:keepLines w:val="0"/>
        <w:pageBreakBefore w:val="0"/>
        <w:widowControl/>
        <w:kinsoku/>
        <w:wordWrap/>
        <w:overflowPunct/>
        <w:topLinePunct w:val="0"/>
        <w:autoSpaceDE/>
        <w:autoSpaceDN/>
        <w:bidi w:val="0"/>
        <w:adjustRightInd w:val="0"/>
        <w:snapToGrid w:val="0"/>
        <w:spacing w:before="0" w:after="0" w:line="560" w:lineRule="exact"/>
        <w:ind w:firstLine="642" w:firstLineChars="200"/>
        <w:jc w:val="both"/>
        <w:textAlignment w:val="baseline"/>
        <w:rPr>
          <w:rFonts w:ascii="楷体" w:hAnsi="楷体" w:eastAsia="楷体" w:cs="楷体"/>
          <w:szCs w:val="32"/>
        </w:rPr>
      </w:pPr>
      <w:bookmarkStart w:id="28" w:name="_Toc6323"/>
      <w:r>
        <w:rPr>
          <w:rFonts w:hint="eastAsia" w:ascii="楷体" w:hAnsi="楷体" w:eastAsia="楷体" w:cs="楷体"/>
          <w:szCs w:val="32"/>
        </w:rPr>
        <w:t>（二）风险防范、减缓及化解措施建议</w:t>
      </w:r>
      <w:bookmarkEnd w:id="28"/>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both"/>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1.加强政策宣传和舆论引导</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要使得CCC免办工作取得良好的效果，首先必须拓宽宣传措施和加大宣传力度。市场监管部门要树立正确的意识，积极引导、加大宣传，充分认识《操作办法》施行的重要意义。可以通过灵活运用微信公众号、短视频号、微博、报纸等媒体，积极做好推广《操作办法》的宣传报道、政策解读工作，结合讲座、培训等方式加强对企业申请进行针对性指导，确保各项政策落实到位。</w:t>
      </w:r>
      <w:r>
        <w:rPr>
          <w:rFonts w:ascii="仿宋_GB2312" w:hAnsi="仿宋_GB2312" w:eastAsia="仿宋_GB2312" w:cs="仿宋_GB2312"/>
          <w:sz w:val="32"/>
          <w:szCs w:val="32"/>
        </w:rPr>
        <w:t>一方面指导CCC免办申请企业和工作人员规范申请，使其能够充分掌握 CCC 产品的正确界定，提升企业的业务能力；另一方面促进企业规范管理，帮助企业掌握CCC认证的政策法规，避免违规使用，为区域合作的共建共享创建良好的信誉基础。</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both"/>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2.建立风险预警和防范机制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对《操作办法》施行过程中可能产生的风险，建议尽快建立风险预警制度，加强风险预警和防范。一是及时收集企业相关信息和需求，适时调整相关制度，保障CCC免办工作切合实际；二是要注意与国家、省市相关政策和法律法规保持一致；三是在推进过程中应加强统筹协调，既要保证整体推进，又要兼顾树立标杆。</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both"/>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3.建立多部门信息共享联动机制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b/>
          <w:bCs/>
          <w:sz w:val="35"/>
          <w:szCs w:val="35"/>
        </w:rPr>
      </w:pPr>
      <w:r>
        <w:rPr>
          <w:rFonts w:hint="eastAsia" w:ascii="仿宋_GB2312" w:hAnsi="仿宋_GB2312" w:eastAsia="仿宋_GB2312" w:cs="仿宋_GB2312"/>
          <w:sz w:val="32"/>
          <w:szCs w:val="32"/>
        </w:rPr>
        <w:t>在《操作办法》施行中，深圳市市场监督管理局应与其他有关部门建立多部门信息共享联动机制，以CCC免办为基础，构筑责任机制，保证企业申请材料的真实性。一旦发现企业在申请过程中提交了虚假材料，或是违背了承诺及其他法定要求，依法应当追究主体的法律责任，并根据其失信行为的轻重，决定是否将其纳入</w:t>
      </w:r>
      <w:r>
        <w:rPr>
          <w:rFonts w:hint="eastAsia" w:ascii="仿宋_GB2312" w:hAnsi="仿宋_GB2312" w:eastAsia="仿宋_GB2312" w:cs="仿宋_GB2312"/>
          <w:sz w:val="32"/>
          <w:szCs w:val="32"/>
          <w:lang w:eastAsia="zh-CN"/>
        </w:rPr>
        <w:t>“黑名单”</w:t>
      </w:r>
      <w:r>
        <w:rPr>
          <w:rFonts w:hint="eastAsia" w:ascii="仿宋_GB2312" w:hAnsi="仿宋_GB2312" w:eastAsia="仿宋_GB2312" w:cs="仿宋_GB2312"/>
          <w:sz w:val="32"/>
          <w:szCs w:val="32"/>
        </w:rPr>
        <w:t>，给予惩戒。</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baseline"/>
        <w:rPr>
          <w:rFonts w:ascii="仿宋_GB2312" w:hAnsi="仿宋_GB2312" w:eastAsia="仿宋_GB2312" w:cs="仿宋_GB2312"/>
          <w:b/>
          <w:bCs/>
          <w:sz w:val="35"/>
          <w:szCs w:val="35"/>
        </w:rPr>
      </w:pPr>
      <w:r>
        <w:rPr>
          <w:rFonts w:hint="eastAsia" w:ascii="仿宋_GB2312" w:hAnsi="仿宋_GB2312" w:eastAsia="仿宋_GB2312" w:cs="仿宋_GB2312"/>
          <w:b/>
          <w:bCs/>
          <w:sz w:val="35"/>
          <w:szCs w:val="35"/>
        </w:rPr>
        <w:br w:type="page"/>
      </w:r>
    </w:p>
    <w:p>
      <w:pPr>
        <w:pStyle w:val="2"/>
        <w:keepNext w:val="0"/>
        <w:keepLines w:val="0"/>
        <w:pageBreakBefore w:val="0"/>
        <w:widowControl/>
        <w:kinsoku/>
        <w:wordWrap/>
        <w:overflowPunct/>
        <w:topLinePunct w:val="0"/>
        <w:autoSpaceDE/>
        <w:autoSpaceDN/>
        <w:bidi w:val="0"/>
        <w:adjustRightInd w:val="0"/>
        <w:snapToGrid w:val="0"/>
        <w:spacing w:before="0" w:after="0" w:line="560" w:lineRule="exact"/>
        <w:jc w:val="center"/>
        <w:textAlignment w:val="baseline"/>
        <w:rPr>
          <w:rFonts w:ascii="仿宋_GB2312" w:hAnsi="仿宋_GB2312" w:eastAsia="仿宋_GB2312" w:cs="仿宋_GB2312"/>
          <w:bCs/>
          <w:sz w:val="35"/>
          <w:szCs w:val="35"/>
        </w:rPr>
      </w:pPr>
      <w:bookmarkStart w:id="29" w:name="_Toc6904"/>
      <w:r>
        <w:rPr>
          <w:rFonts w:hint="eastAsia" w:ascii="黑体" w:hAnsi="黑体" w:eastAsia="黑体" w:cs="黑体"/>
          <w:bCs/>
          <w:sz w:val="32"/>
          <w:szCs w:val="32"/>
        </w:rPr>
        <w:t>第三部分  风险评估结论</w:t>
      </w:r>
      <w:bookmarkEnd w:id="29"/>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_GB2312" w:eastAsia="仿宋_GB2312" w:cs="仿宋_GB2312"/>
          <w:sz w:val="29"/>
          <w:szCs w:val="29"/>
        </w:rPr>
      </w:pPr>
      <w:r>
        <w:rPr>
          <w:rFonts w:hint="eastAsia" w:ascii="仿宋_GB2312" w:hAnsi="仿宋_GB2312" w:eastAsia="仿宋_GB2312" w:cs="仿宋_GB2312"/>
          <w:sz w:val="32"/>
          <w:szCs w:val="32"/>
        </w:rPr>
        <w:t>通过综合评估，《操作办法》内容基本完整、科学、合理，从实施背景、目的意义、实施要求、条件和程序、后续管理、相关方权利义务等各方面均作出了明确规定，具有充分的法律法规依据，起草过程征求了内外部意见，吸纳了有关建议，体现了科学、客观、公开、公平、公正原则。虽然存在少许可能的实施风险，但这些风险不是《操作办法》所当然衍生的以及属于深圳市所特有的，也不能认为存在制度缺陷，且通过加强政策宣传和舆论引导、建立风险预警和防范以及建立部门信息共享机制基本可以降低或者化解。此外，《操作办法》文字表述符合《党政机关公文处理工作条例》规定，逻辑层次清晰，各章节之间衔接较好，各条款切实可行，实施风险可控，既保证了CCC免办工作于法有据，又确保了可操作性，总体上满足必要性、合法性、协调性和可操作性等标准。《操作办法》奠定了深圳CCC免办工作的法制基础，能够为深圳市未来三年CCC免办工作指引方向，为推进粤港澳大湾区和中国特色社会主义</w:t>
      </w:r>
      <w:r>
        <w:rPr>
          <w:rFonts w:hint="eastAsia" w:ascii="仿宋_GB2312" w:hAnsi="仿宋_GB2312" w:eastAsia="仿宋_GB2312" w:cs="仿宋_GB2312"/>
          <w:sz w:val="32"/>
          <w:szCs w:val="32"/>
          <w:lang w:eastAsia="zh-CN"/>
        </w:rPr>
        <w:t>先行</w:t>
      </w:r>
      <w:bookmarkStart w:id="30" w:name="_GoBack"/>
      <w:bookmarkEnd w:id="30"/>
      <w:r>
        <w:rPr>
          <w:rFonts w:hint="eastAsia" w:ascii="仿宋_GB2312" w:hAnsi="仿宋_GB2312" w:eastAsia="仿宋_GB2312" w:cs="仿宋_GB2312"/>
          <w:sz w:val="32"/>
          <w:szCs w:val="32"/>
        </w:rPr>
        <w:t>示范区建设提供有力支撑。建议在实施过程中注意加强统筹协调，加强上下联动和横向协调，形成落实《操作办法》的合力，并注重阶段性工作的研讨与总结。</w:t>
      </w:r>
    </w:p>
    <w:p>
      <w:pPr>
        <w:kinsoku/>
        <w:autoSpaceDE/>
        <w:autoSpaceDN/>
        <w:spacing w:line="360" w:lineRule="auto"/>
        <w:ind w:firstLine="580" w:firstLineChars="200"/>
        <w:jc w:val="both"/>
        <w:rPr>
          <w:rFonts w:ascii="仿宋_GB2312" w:hAnsi="仿宋_GB2312" w:eastAsia="仿宋_GB2312" w:cs="仿宋_GB2312"/>
          <w:sz w:val="29"/>
          <w:szCs w:val="29"/>
        </w:rPr>
      </w:pPr>
    </w:p>
    <w:p>
      <w:pPr>
        <w:kinsoku/>
        <w:autoSpaceDE/>
        <w:autoSpaceDN/>
        <w:spacing w:line="360" w:lineRule="auto"/>
        <w:ind w:firstLine="580" w:firstLineChars="200"/>
        <w:jc w:val="both"/>
        <w:rPr>
          <w:rFonts w:ascii="仿宋_GB2312" w:hAnsi="仿宋_GB2312" w:eastAsia="仿宋_GB2312" w:cs="仿宋_GB2312"/>
          <w:sz w:val="29"/>
          <w:szCs w:val="29"/>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00" w:usb3="00000000" w:csb0="00040000" w:csb1="00000000"/>
  </w:font>
  <w:font w:name="方正姚体">
    <w:altName w:val="方正姚体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姚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984"/>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方正姚体" w:hAnsi="方正姚体" w:eastAsia="方正姚体" w:cs="方正姚体"/>
                              <w:sz w:val="24"/>
                              <w:szCs w:val="24"/>
                            </w:rPr>
                          </w:pPr>
                          <w:r>
                            <w:rPr>
                              <w:rFonts w:hint="eastAsia" w:ascii="方正姚体" w:hAnsi="方正姚体" w:eastAsia="方正姚体" w:cs="方正姚体"/>
                              <w:sz w:val="24"/>
                              <w:szCs w:val="24"/>
                            </w:rPr>
                            <w:t xml:space="preserve">第 </w:t>
                          </w:r>
                          <w:r>
                            <w:rPr>
                              <w:rFonts w:hint="eastAsia" w:ascii="方正姚体" w:hAnsi="方正姚体" w:eastAsia="方正姚体" w:cs="方正姚体"/>
                              <w:sz w:val="24"/>
                              <w:szCs w:val="24"/>
                            </w:rPr>
                            <w:fldChar w:fldCharType="begin"/>
                          </w:r>
                          <w:r>
                            <w:rPr>
                              <w:rFonts w:hint="eastAsia" w:ascii="方正姚体" w:hAnsi="方正姚体" w:eastAsia="方正姚体" w:cs="方正姚体"/>
                              <w:sz w:val="24"/>
                              <w:szCs w:val="24"/>
                            </w:rPr>
                            <w:instrText xml:space="preserve"> PAGE  \* MERGEFORMAT </w:instrText>
                          </w:r>
                          <w:r>
                            <w:rPr>
                              <w:rFonts w:hint="eastAsia" w:ascii="方正姚体" w:hAnsi="方正姚体" w:eastAsia="方正姚体" w:cs="方正姚体"/>
                              <w:sz w:val="24"/>
                              <w:szCs w:val="24"/>
                            </w:rPr>
                            <w:fldChar w:fldCharType="separate"/>
                          </w:r>
                          <w:r>
                            <w:rPr>
                              <w:rFonts w:hint="eastAsia" w:ascii="方正姚体" w:hAnsi="方正姚体" w:eastAsia="方正姚体" w:cs="方正姚体"/>
                              <w:sz w:val="24"/>
                              <w:szCs w:val="24"/>
                            </w:rPr>
                            <w:t>3</w:t>
                          </w:r>
                          <w:r>
                            <w:rPr>
                              <w:rFonts w:hint="eastAsia" w:ascii="方正姚体" w:hAnsi="方正姚体" w:eastAsia="方正姚体" w:cs="方正姚体"/>
                              <w:sz w:val="24"/>
                              <w:szCs w:val="24"/>
                            </w:rPr>
                            <w:fldChar w:fldCharType="end"/>
                          </w:r>
                          <w:r>
                            <w:rPr>
                              <w:rFonts w:hint="eastAsia" w:ascii="方正姚体" w:hAnsi="方正姚体" w:eastAsia="方正姚体" w:cs="方正姚体"/>
                              <w:sz w:val="24"/>
                              <w:szCs w:val="24"/>
                            </w:rPr>
                            <w:t xml:space="preserve"> 页 共 </w:t>
                          </w:r>
                          <w:r>
                            <w:rPr>
                              <w:rFonts w:hint="eastAsia" w:ascii="方正姚体" w:hAnsi="方正姚体" w:eastAsia="方正姚体" w:cs="方正姚体"/>
                              <w:sz w:val="24"/>
                              <w:szCs w:val="24"/>
                            </w:rPr>
                            <w:fldChar w:fldCharType="begin"/>
                          </w:r>
                          <w:r>
                            <w:rPr>
                              <w:rFonts w:hint="eastAsia" w:ascii="方正姚体" w:hAnsi="方正姚体" w:eastAsia="方正姚体" w:cs="方正姚体"/>
                              <w:sz w:val="24"/>
                              <w:szCs w:val="24"/>
                            </w:rPr>
                            <w:instrText xml:space="preserve"> NUMPAGES  \* MERGEFORMAT </w:instrText>
                          </w:r>
                          <w:r>
                            <w:rPr>
                              <w:rFonts w:hint="eastAsia" w:ascii="方正姚体" w:hAnsi="方正姚体" w:eastAsia="方正姚体" w:cs="方正姚体"/>
                              <w:sz w:val="24"/>
                              <w:szCs w:val="24"/>
                            </w:rPr>
                            <w:fldChar w:fldCharType="separate"/>
                          </w:r>
                          <w:r>
                            <w:rPr>
                              <w:rFonts w:hint="eastAsia" w:ascii="方正姚体" w:hAnsi="方正姚体" w:eastAsia="方正姚体" w:cs="方正姚体"/>
                              <w:sz w:val="24"/>
                              <w:szCs w:val="24"/>
                            </w:rPr>
                            <w:t>22</w:t>
                          </w:r>
                          <w:r>
                            <w:rPr>
                              <w:rFonts w:hint="eastAsia" w:ascii="方正姚体" w:hAnsi="方正姚体" w:eastAsia="方正姚体" w:cs="方正姚体"/>
                              <w:sz w:val="24"/>
                              <w:szCs w:val="24"/>
                            </w:rPr>
                            <w:fldChar w:fldCharType="end"/>
                          </w:r>
                          <w:r>
                            <w:rPr>
                              <w:rFonts w:hint="eastAsia" w:ascii="方正姚体" w:hAnsi="方正姚体" w:eastAsia="方正姚体" w:cs="方正姚体"/>
                              <w:sz w:val="24"/>
                              <w:szCs w:val="24"/>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9"/>
                      <w:rPr>
                        <w:rFonts w:ascii="方正姚体" w:hAnsi="方正姚体" w:eastAsia="方正姚体" w:cs="方正姚体"/>
                        <w:sz w:val="24"/>
                        <w:szCs w:val="24"/>
                      </w:rPr>
                    </w:pPr>
                    <w:r>
                      <w:rPr>
                        <w:rFonts w:hint="eastAsia" w:ascii="方正姚体" w:hAnsi="方正姚体" w:eastAsia="方正姚体" w:cs="方正姚体"/>
                        <w:sz w:val="24"/>
                        <w:szCs w:val="24"/>
                      </w:rPr>
                      <w:t xml:space="preserve">第 </w:t>
                    </w:r>
                    <w:r>
                      <w:rPr>
                        <w:rFonts w:hint="eastAsia" w:ascii="方正姚体" w:hAnsi="方正姚体" w:eastAsia="方正姚体" w:cs="方正姚体"/>
                        <w:sz w:val="24"/>
                        <w:szCs w:val="24"/>
                      </w:rPr>
                      <w:fldChar w:fldCharType="begin"/>
                    </w:r>
                    <w:r>
                      <w:rPr>
                        <w:rFonts w:hint="eastAsia" w:ascii="方正姚体" w:hAnsi="方正姚体" w:eastAsia="方正姚体" w:cs="方正姚体"/>
                        <w:sz w:val="24"/>
                        <w:szCs w:val="24"/>
                      </w:rPr>
                      <w:instrText xml:space="preserve"> PAGE  \* MERGEFORMAT </w:instrText>
                    </w:r>
                    <w:r>
                      <w:rPr>
                        <w:rFonts w:hint="eastAsia" w:ascii="方正姚体" w:hAnsi="方正姚体" w:eastAsia="方正姚体" w:cs="方正姚体"/>
                        <w:sz w:val="24"/>
                        <w:szCs w:val="24"/>
                      </w:rPr>
                      <w:fldChar w:fldCharType="separate"/>
                    </w:r>
                    <w:r>
                      <w:rPr>
                        <w:rFonts w:hint="eastAsia" w:ascii="方正姚体" w:hAnsi="方正姚体" w:eastAsia="方正姚体" w:cs="方正姚体"/>
                        <w:sz w:val="24"/>
                        <w:szCs w:val="24"/>
                      </w:rPr>
                      <w:t>3</w:t>
                    </w:r>
                    <w:r>
                      <w:rPr>
                        <w:rFonts w:hint="eastAsia" w:ascii="方正姚体" w:hAnsi="方正姚体" w:eastAsia="方正姚体" w:cs="方正姚体"/>
                        <w:sz w:val="24"/>
                        <w:szCs w:val="24"/>
                      </w:rPr>
                      <w:fldChar w:fldCharType="end"/>
                    </w:r>
                    <w:r>
                      <w:rPr>
                        <w:rFonts w:hint="eastAsia" w:ascii="方正姚体" w:hAnsi="方正姚体" w:eastAsia="方正姚体" w:cs="方正姚体"/>
                        <w:sz w:val="24"/>
                        <w:szCs w:val="24"/>
                      </w:rPr>
                      <w:t xml:space="preserve"> 页 共 </w:t>
                    </w:r>
                    <w:r>
                      <w:rPr>
                        <w:rFonts w:hint="eastAsia" w:ascii="方正姚体" w:hAnsi="方正姚体" w:eastAsia="方正姚体" w:cs="方正姚体"/>
                        <w:sz w:val="24"/>
                        <w:szCs w:val="24"/>
                      </w:rPr>
                      <w:fldChar w:fldCharType="begin"/>
                    </w:r>
                    <w:r>
                      <w:rPr>
                        <w:rFonts w:hint="eastAsia" w:ascii="方正姚体" w:hAnsi="方正姚体" w:eastAsia="方正姚体" w:cs="方正姚体"/>
                        <w:sz w:val="24"/>
                        <w:szCs w:val="24"/>
                      </w:rPr>
                      <w:instrText xml:space="preserve"> NUMPAGES  \* MERGEFORMAT </w:instrText>
                    </w:r>
                    <w:r>
                      <w:rPr>
                        <w:rFonts w:hint="eastAsia" w:ascii="方正姚体" w:hAnsi="方正姚体" w:eastAsia="方正姚体" w:cs="方正姚体"/>
                        <w:sz w:val="24"/>
                        <w:szCs w:val="24"/>
                      </w:rPr>
                      <w:fldChar w:fldCharType="separate"/>
                    </w:r>
                    <w:r>
                      <w:rPr>
                        <w:rFonts w:hint="eastAsia" w:ascii="方正姚体" w:hAnsi="方正姚体" w:eastAsia="方正姚体" w:cs="方正姚体"/>
                        <w:sz w:val="24"/>
                        <w:szCs w:val="24"/>
                      </w:rPr>
                      <w:t>22</w:t>
                    </w:r>
                    <w:r>
                      <w:rPr>
                        <w:rFonts w:hint="eastAsia" w:ascii="方正姚体" w:hAnsi="方正姚体" w:eastAsia="方正姚体" w:cs="方正姚体"/>
                        <w:sz w:val="24"/>
                        <w:szCs w:val="24"/>
                      </w:rPr>
                      <w:fldChar w:fldCharType="end"/>
                    </w:r>
                    <w:r>
                      <w:rPr>
                        <w:rFonts w:hint="eastAsia" w:ascii="方正姚体" w:hAnsi="方正姚体" w:eastAsia="方正姚体" w:cs="方正姚体"/>
                        <w:sz w:val="24"/>
                        <w:szCs w:val="24"/>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pPr>
  </w:p>
  <w:p>
    <w:pPr>
      <w:pStyle w:val="10"/>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4NDQxNjBlMjcyMWM1NDgwM2MwY2IzMzg0NjRiODMifQ=="/>
  </w:docVars>
  <w:rsids>
    <w:rsidRoot w:val="5D0C4477"/>
    <w:rsid w:val="00150EAD"/>
    <w:rsid w:val="001A0049"/>
    <w:rsid w:val="002E6413"/>
    <w:rsid w:val="003F23CE"/>
    <w:rsid w:val="0055574E"/>
    <w:rsid w:val="00661C58"/>
    <w:rsid w:val="006836D3"/>
    <w:rsid w:val="007F5D4E"/>
    <w:rsid w:val="00A566D5"/>
    <w:rsid w:val="00B901D7"/>
    <w:rsid w:val="00E26CDF"/>
    <w:rsid w:val="00F27441"/>
    <w:rsid w:val="012A2737"/>
    <w:rsid w:val="02913D1B"/>
    <w:rsid w:val="029313AF"/>
    <w:rsid w:val="02B413CC"/>
    <w:rsid w:val="034C72DC"/>
    <w:rsid w:val="03634626"/>
    <w:rsid w:val="037C1244"/>
    <w:rsid w:val="03847A06"/>
    <w:rsid w:val="03AA5DB1"/>
    <w:rsid w:val="03B804CE"/>
    <w:rsid w:val="0432428D"/>
    <w:rsid w:val="04A44EF6"/>
    <w:rsid w:val="04B002DD"/>
    <w:rsid w:val="05016A24"/>
    <w:rsid w:val="053F305D"/>
    <w:rsid w:val="05964427"/>
    <w:rsid w:val="05C361CD"/>
    <w:rsid w:val="05CF1AFF"/>
    <w:rsid w:val="05D30172"/>
    <w:rsid w:val="06182533"/>
    <w:rsid w:val="061A244C"/>
    <w:rsid w:val="061D0ABC"/>
    <w:rsid w:val="064F49ED"/>
    <w:rsid w:val="06F2019A"/>
    <w:rsid w:val="06FD08ED"/>
    <w:rsid w:val="077F3B06"/>
    <w:rsid w:val="07B54D24"/>
    <w:rsid w:val="07BC60B3"/>
    <w:rsid w:val="07D63653"/>
    <w:rsid w:val="08283748"/>
    <w:rsid w:val="08393BA7"/>
    <w:rsid w:val="08633073"/>
    <w:rsid w:val="08980AD0"/>
    <w:rsid w:val="08B82D1E"/>
    <w:rsid w:val="090146C5"/>
    <w:rsid w:val="09E244F6"/>
    <w:rsid w:val="0B633415"/>
    <w:rsid w:val="0BB579E9"/>
    <w:rsid w:val="0C6C49EE"/>
    <w:rsid w:val="0CF167FE"/>
    <w:rsid w:val="0D176DF3"/>
    <w:rsid w:val="0D466B4A"/>
    <w:rsid w:val="0D884035"/>
    <w:rsid w:val="0DA10224"/>
    <w:rsid w:val="0DFE6596"/>
    <w:rsid w:val="0E2624D8"/>
    <w:rsid w:val="0E770F85"/>
    <w:rsid w:val="0F136F00"/>
    <w:rsid w:val="0F7D081D"/>
    <w:rsid w:val="0F957E9C"/>
    <w:rsid w:val="0F9A4F2B"/>
    <w:rsid w:val="0FD541B5"/>
    <w:rsid w:val="0FF6E1AA"/>
    <w:rsid w:val="0FFC213A"/>
    <w:rsid w:val="10260EB5"/>
    <w:rsid w:val="102A657A"/>
    <w:rsid w:val="103F5AD3"/>
    <w:rsid w:val="1068327B"/>
    <w:rsid w:val="11357601"/>
    <w:rsid w:val="114C25B8"/>
    <w:rsid w:val="115B2212"/>
    <w:rsid w:val="11702FA8"/>
    <w:rsid w:val="119F1614"/>
    <w:rsid w:val="11FB4533"/>
    <w:rsid w:val="122610AE"/>
    <w:rsid w:val="125575F5"/>
    <w:rsid w:val="12E0534B"/>
    <w:rsid w:val="136441CE"/>
    <w:rsid w:val="13C20EF5"/>
    <w:rsid w:val="13F238FA"/>
    <w:rsid w:val="14425B91"/>
    <w:rsid w:val="1442713F"/>
    <w:rsid w:val="149E54BE"/>
    <w:rsid w:val="14C111AC"/>
    <w:rsid w:val="1512522B"/>
    <w:rsid w:val="15611288"/>
    <w:rsid w:val="156A2679"/>
    <w:rsid w:val="15B27BE6"/>
    <w:rsid w:val="163038CC"/>
    <w:rsid w:val="172422A9"/>
    <w:rsid w:val="17677BE2"/>
    <w:rsid w:val="177D5F83"/>
    <w:rsid w:val="178C3598"/>
    <w:rsid w:val="186C16FD"/>
    <w:rsid w:val="18E45469"/>
    <w:rsid w:val="18EB2DBB"/>
    <w:rsid w:val="19C239FC"/>
    <w:rsid w:val="1A177D7F"/>
    <w:rsid w:val="1A49695F"/>
    <w:rsid w:val="1A6F6194"/>
    <w:rsid w:val="1A7867B1"/>
    <w:rsid w:val="1ADD03C2"/>
    <w:rsid w:val="1B0E29D1"/>
    <w:rsid w:val="1B140288"/>
    <w:rsid w:val="1B55264E"/>
    <w:rsid w:val="1B9E3FF5"/>
    <w:rsid w:val="1BB42C2C"/>
    <w:rsid w:val="1BD8671B"/>
    <w:rsid w:val="1C13053F"/>
    <w:rsid w:val="1C6012AB"/>
    <w:rsid w:val="1C757113"/>
    <w:rsid w:val="1CD001DE"/>
    <w:rsid w:val="1D750D86"/>
    <w:rsid w:val="1DBB7BBC"/>
    <w:rsid w:val="1DCF493A"/>
    <w:rsid w:val="1E1B192D"/>
    <w:rsid w:val="1E4944A2"/>
    <w:rsid w:val="1E6A5E28"/>
    <w:rsid w:val="1EA35FEA"/>
    <w:rsid w:val="1ECC0E79"/>
    <w:rsid w:val="1EF71B70"/>
    <w:rsid w:val="1F1903F3"/>
    <w:rsid w:val="1F3F743A"/>
    <w:rsid w:val="1F44371F"/>
    <w:rsid w:val="1FDD6ADF"/>
    <w:rsid w:val="1FF57F5C"/>
    <w:rsid w:val="204B5589"/>
    <w:rsid w:val="206967F2"/>
    <w:rsid w:val="20B816B5"/>
    <w:rsid w:val="20BD316F"/>
    <w:rsid w:val="21A74B95"/>
    <w:rsid w:val="22966913"/>
    <w:rsid w:val="22C365CF"/>
    <w:rsid w:val="22CF718A"/>
    <w:rsid w:val="22FF758C"/>
    <w:rsid w:val="2393640A"/>
    <w:rsid w:val="23D20CE0"/>
    <w:rsid w:val="23E17175"/>
    <w:rsid w:val="249935AC"/>
    <w:rsid w:val="24D3760E"/>
    <w:rsid w:val="252217F3"/>
    <w:rsid w:val="25450025"/>
    <w:rsid w:val="25843742"/>
    <w:rsid w:val="262F10C7"/>
    <w:rsid w:val="2637307C"/>
    <w:rsid w:val="26451C3D"/>
    <w:rsid w:val="26963B99"/>
    <w:rsid w:val="26B55F4C"/>
    <w:rsid w:val="26EB3E67"/>
    <w:rsid w:val="2708397D"/>
    <w:rsid w:val="27494592"/>
    <w:rsid w:val="27B973DA"/>
    <w:rsid w:val="27D33279"/>
    <w:rsid w:val="281222F4"/>
    <w:rsid w:val="28616AD6"/>
    <w:rsid w:val="28A349F9"/>
    <w:rsid w:val="28B46C06"/>
    <w:rsid w:val="28CA467C"/>
    <w:rsid w:val="28ED32C7"/>
    <w:rsid w:val="28F65794"/>
    <w:rsid w:val="294361DC"/>
    <w:rsid w:val="2952729F"/>
    <w:rsid w:val="296B6907"/>
    <w:rsid w:val="29B80978"/>
    <w:rsid w:val="29C410CB"/>
    <w:rsid w:val="29D935E1"/>
    <w:rsid w:val="2AC46EA9"/>
    <w:rsid w:val="2B1C2247"/>
    <w:rsid w:val="2B690DF0"/>
    <w:rsid w:val="2B7A1D63"/>
    <w:rsid w:val="2BEC17AE"/>
    <w:rsid w:val="2C405431"/>
    <w:rsid w:val="2CAB6572"/>
    <w:rsid w:val="2CD22F81"/>
    <w:rsid w:val="2DDD6BFF"/>
    <w:rsid w:val="2DE64EBA"/>
    <w:rsid w:val="2E427274"/>
    <w:rsid w:val="2F875C16"/>
    <w:rsid w:val="2F9A3EC4"/>
    <w:rsid w:val="2FC13683"/>
    <w:rsid w:val="2FD25609"/>
    <w:rsid w:val="30110DE2"/>
    <w:rsid w:val="30FF0C3A"/>
    <w:rsid w:val="311025FC"/>
    <w:rsid w:val="31291C17"/>
    <w:rsid w:val="314B3E80"/>
    <w:rsid w:val="318D4498"/>
    <w:rsid w:val="31B9703B"/>
    <w:rsid w:val="31F2722F"/>
    <w:rsid w:val="325F576F"/>
    <w:rsid w:val="32715B68"/>
    <w:rsid w:val="32A816FE"/>
    <w:rsid w:val="335214F5"/>
    <w:rsid w:val="336F2B30"/>
    <w:rsid w:val="33757AD9"/>
    <w:rsid w:val="337C47C4"/>
    <w:rsid w:val="33923FE8"/>
    <w:rsid w:val="339A6510"/>
    <w:rsid w:val="342C7F98"/>
    <w:rsid w:val="34441786"/>
    <w:rsid w:val="34A044E2"/>
    <w:rsid w:val="34B453EB"/>
    <w:rsid w:val="34F0546A"/>
    <w:rsid w:val="35411821"/>
    <w:rsid w:val="35867971"/>
    <w:rsid w:val="358B2E3D"/>
    <w:rsid w:val="35951B6D"/>
    <w:rsid w:val="35A5283E"/>
    <w:rsid w:val="3658151C"/>
    <w:rsid w:val="366D5DEC"/>
    <w:rsid w:val="36A62466"/>
    <w:rsid w:val="36B50719"/>
    <w:rsid w:val="37040D59"/>
    <w:rsid w:val="370C5E5F"/>
    <w:rsid w:val="37757EA8"/>
    <w:rsid w:val="37F76B0F"/>
    <w:rsid w:val="38550803"/>
    <w:rsid w:val="38CD161E"/>
    <w:rsid w:val="39072D82"/>
    <w:rsid w:val="390A4620"/>
    <w:rsid w:val="39657C8F"/>
    <w:rsid w:val="39D0586A"/>
    <w:rsid w:val="39E15381"/>
    <w:rsid w:val="3A085004"/>
    <w:rsid w:val="3A2F07E2"/>
    <w:rsid w:val="3B163750"/>
    <w:rsid w:val="3B1D688D"/>
    <w:rsid w:val="3B201ED9"/>
    <w:rsid w:val="3B494C2A"/>
    <w:rsid w:val="3B534B95"/>
    <w:rsid w:val="3B942511"/>
    <w:rsid w:val="3BDF3B42"/>
    <w:rsid w:val="3BEB24E7"/>
    <w:rsid w:val="3C2974B3"/>
    <w:rsid w:val="3C320116"/>
    <w:rsid w:val="3C444841"/>
    <w:rsid w:val="3D3872AB"/>
    <w:rsid w:val="3D510A70"/>
    <w:rsid w:val="3DD95C68"/>
    <w:rsid w:val="3DDE30D7"/>
    <w:rsid w:val="3DEB11CB"/>
    <w:rsid w:val="3E815CDE"/>
    <w:rsid w:val="3EAA6689"/>
    <w:rsid w:val="3F2F4DE1"/>
    <w:rsid w:val="3F8E7703"/>
    <w:rsid w:val="3FC07FFE"/>
    <w:rsid w:val="3FC4377B"/>
    <w:rsid w:val="3FFE380B"/>
    <w:rsid w:val="40442B0E"/>
    <w:rsid w:val="40A519CB"/>
    <w:rsid w:val="40C41559"/>
    <w:rsid w:val="40CE0A30"/>
    <w:rsid w:val="41036525"/>
    <w:rsid w:val="41202C33"/>
    <w:rsid w:val="415520F7"/>
    <w:rsid w:val="41CA0DF1"/>
    <w:rsid w:val="429856CD"/>
    <w:rsid w:val="42C45840"/>
    <w:rsid w:val="42ED123B"/>
    <w:rsid w:val="43030A5E"/>
    <w:rsid w:val="436275FE"/>
    <w:rsid w:val="43776D56"/>
    <w:rsid w:val="43895742"/>
    <w:rsid w:val="44C94A59"/>
    <w:rsid w:val="45433394"/>
    <w:rsid w:val="4554734F"/>
    <w:rsid w:val="45554E75"/>
    <w:rsid w:val="459E4A6E"/>
    <w:rsid w:val="46204967"/>
    <w:rsid w:val="463F1DAD"/>
    <w:rsid w:val="46AC4F69"/>
    <w:rsid w:val="46B75DE7"/>
    <w:rsid w:val="470B1C8F"/>
    <w:rsid w:val="475C54D1"/>
    <w:rsid w:val="47BB36B5"/>
    <w:rsid w:val="48643D4D"/>
    <w:rsid w:val="48990868"/>
    <w:rsid w:val="4977185E"/>
    <w:rsid w:val="49EF3AEA"/>
    <w:rsid w:val="49F92273"/>
    <w:rsid w:val="4A01742E"/>
    <w:rsid w:val="4A037596"/>
    <w:rsid w:val="4A280DAA"/>
    <w:rsid w:val="4A5B2F2E"/>
    <w:rsid w:val="4A5E47CC"/>
    <w:rsid w:val="4A774324"/>
    <w:rsid w:val="4A811C7A"/>
    <w:rsid w:val="4AA35A82"/>
    <w:rsid w:val="4AFD5D93"/>
    <w:rsid w:val="4B4340EE"/>
    <w:rsid w:val="4B595B49"/>
    <w:rsid w:val="4B700C5B"/>
    <w:rsid w:val="4BD05255"/>
    <w:rsid w:val="4C146064"/>
    <w:rsid w:val="4C857EEB"/>
    <w:rsid w:val="4CA566E2"/>
    <w:rsid w:val="4DE4323A"/>
    <w:rsid w:val="4DEE53A2"/>
    <w:rsid w:val="4E410152"/>
    <w:rsid w:val="4E4361B3"/>
    <w:rsid w:val="4E650FE0"/>
    <w:rsid w:val="4E9E5ADF"/>
    <w:rsid w:val="4F204746"/>
    <w:rsid w:val="4F336227"/>
    <w:rsid w:val="4F5F0A3F"/>
    <w:rsid w:val="4F9667B6"/>
    <w:rsid w:val="501716A5"/>
    <w:rsid w:val="502C16F6"/>
    <w:rsid w:val="506D5769"/>
    <w:rsid w:val="50B138A7"/>
    <w:rsid w:val="514069D9"/>
    <w:rsid w:val="5160711D"/>
    <w:rsid w:val="51856F78"/>
    <w:rsid w:val="51DC69D3"/>
    <w:rsid w:val="52756B57"/>
    <w:rsid w:val="52B458D1"/>
    <w:rsid w:val="52BE7978"/>
    <w:rsid w:val="53023300"/>
    <w:rsid w:val="53A92F5C"/>
    <w:rsid w:val="53B37F48"/>
    <w:rsid w:val="53B536AF"/>
    <w:rsid w:val="543D5452"/>
    <w:rsid w:val="54A1760B"/>
    <w:rsid w:val="54AF6350"/>
    <w:rsid w:val="54D97871"/>
    <w:rsid w:val="557468AB"/>
    <w:rsid w:val="55B80E40"/>
    <w:rsid w:val="55CE0A58"/>
    <w:rsid w:val="56440D1A"/>
    <w:rsid w:val="56F93FE7"/>
    <w:rsid w:val="57286BB3"/>
    <w:rsid w:val="57525A8B"/>
    <w:rsid w:val="57774D2C"/>
    <w:rsid w:val="577F53C7"/>
    <w:rsid w:val="58134E48"/>
    <w:rsid w:val="5853793A"/>
    <w:rsid w:val="58B31E4C"/>
    <w:rsid w:val="58C83A98"/>
    <w:rsid w:val="58D109F1"/>
    <w:rsid w:val="58DF2F7C"/>
    <w:rsid w:val="58F24A5D"/>
    <w:rsid w:val="5A162DC3"/>
    <w:rsid w:val="5AE7674F"/>
    <w:rsid w:val="5B3A6B8F"/>
    <w:rsid w:val="5B70435F"/>
    <w:rsid w:val="5B7908DB"/>
    <w:rsid w:val="5C000168"/>
    <w:rsid w:val="5C3B2BBF"/>
    <w:rsid w:val="5C75491D"/>
    <w:rsid w:val="5C9B540C"/>
    <w:rsid w:val="5CFA7B04"/>
    <w:rsid w:val="5D0C4477"/>
    <w:rsid w:val="5D413B33"/>
    <w:rsid w:val="5D777E5E"/>
    <w:rsid w:val="5D801F91"/>
    <w:rsid w:val="5DA04B8E"/>
    <w:rsid w:val="5E2D4789"/>
    <w:rsid w:val="5E512226"/>
    <w:rsid w:val="5E761C8C"/>
    <w:rsid w:val="5E8E6FD6"/>
    <w:rsid w:val="5EA52305"/>
    <w:rsid w:val="5EEA21DC"/>
    <w:rsid w:val="60011A2A"/>
    <w:rsid w:val="6025396A"/>
    <w:rsid w:val="6071095D"/>
    <w:rsid w:val="60B0176A"/>
    <w:rsid w:val="610619ED"/>
    <w:rsid w:val="616957AD"/>
    <w:rsid w:val="61B56F70"/>
    <w:rsid w:val="61FD50E0"/>
    <w:rsid w:val="621657FA"/>
    <w:rsid w:val="623E51B7"/>
    <w:rsid w:val="62F07B6B"/>
    <w:rsid w:val="63293771"/>
    <w:rsid w:val="638766EA"/>
    <w:rsid w:val="6401024A"/>
    <w:rsid w:val="640259A7"/>
    <w:rsid w:val="642130B0"/>
    <w:rsid w:val="64813139"/>
    <w:rsid w:val="64C179D9"/>
    <w:rsid w:val="64C41ACF"/>
    <w:rsid w:val="653528A1"/>
    <w:rsid w:val="657C6D16"/>
    <w:rsid w:val="65AB4911"/>
    <w:rsid w:val="65E816C2"/>
    <w:rsid w:val="66091638"/>
    <w:rsid w:val="661324B7"/>
    <w:rsid w:val="663B6982"/>
    <w:rsid w:val="66451976"/>
    <w:rsid w:val="6646288C"/>
    <w:rsid w:val="668D4017"/>
    <w:rsid w:val="66B43C9A"/>
    <w:rsid w:val="67073DC9"/>
    <w:rsid w:val="67095D94"/>
    <w:rsid w:val="67471940"/>
    <w:rsid w:val="67B47541"/>
    <w:rsid w:val="68906128"/>
    <w:rsid w:val="69031A3A"/>
    <w:rsid w:val="691C02BB"/>
    <w:rsid w:val="69272501"/>
    <w:rsid w:val="69B24D5F"/>
    <w:rsid w:val="69C53AC8"/>
    <w:rsid w:val="69CB37D4"/>
    <w:rsid w:val="6A163B6E"/>
    <w:rsid w:val="6A350C4E"/>
    <w:rsid w:val="6A4B66C3"/>
    <w:rsid w:val="6A8D0A8A"/>
    <w:rsid w:val="6AD22940"/>
    <w:rsid w:val="6AD45140"/>
    <w:rsid w:val="6AD55F8D"/>
    <w:rsid w:val="6B715CB5"/>
    <w:rsid w:val="6BD444D8"/>
    <w:rsid w:val="6BFD1C3F"/>
    <w:rsid w:val="6C1F6CCA"/>
    <w:rsid w:val="6C523D39"/>
    <w:rsid w:val="6C904861"/>
    <w:rsid w:val="6CA3011F"/>
    <w:rsid w:val="6CF3094C"/>
    <w:rsid w:val="6D2232F1"/>
    <w:rsid w:val="6D930519"/>
    <w:rsid w:val="6D981C1F"/>
    <w:rsid w:val="6DB225B5"/>
    <w:rsid w:val="6DFE1668"/>
    <w:rsid w:val="6EA56555"/>
    <w:rsid w:val="6EF21DC7"/>
    <w:rsid w:val="6F6D3F5B"/>
    <w:rsid w:val="6F887A72"/>
    <w:rsid w:val="6F8C598F"/>
    <w:rsid w:val="6F986715"/>
    <w:rsid w:val="6FB62831"/>
    <w:rsid w:val="6FE41740"/>
    <w:rsid w:val="6FEA24DA"/>
    <w:rsid w:val="700B3298"/>
    <w:rsid w:val="70153B46"/>
    <w:rsid w:val="70575B85"/>
    <w:rsid w:val="705F4C76"/>
    <w:rsid w:val="70853FB1"/>
    <w:rsid w:val="70AE3508"/>
    <w:rsid w:val="70E33DAB"/>
    <w:rsid w:val="7123067D"/>
    <w:rsid w:val="71816E6E"/>
    <w:rsid w:val="71BC3766"/>
    <w:rsid w:val="7235169B"/>
    <w:rsid w:val="72F21DD2"/>
    <w:rsid w:val="73C46F6D"/>
    <w:rsid w:val="73ED2599"/>
    <w:rsid w:val="74263BCD"/>
    <w:rsid w:val="743261FE"/>
    <w:rsid w:val="74786307"/>
    <w:rsid w:val="74B542D0"/>
    <w:rsid w:val="74C4154C"/>
    <w:rsid w:val="75233190"/>
    <w:rsid w:val="752913AF"/>
    <w:rsid w:val="752E2E69"/>
    <w:rsid w:val="75902A02"/>
    <w:rsid w:val="75E55C1E"/>
    <w:rsid w:val="7610256F"/>
    <w:rsid w:val="76200A04"/>
    <w:rsid w:val="764F127C"/>
    <w:rsid w:val="765D6201"/>
    <w:rsid w:val="76A637C5"/>
    <w:rsid w:val="76D50105"/>
    <w:rsid w:val="77170059"/>
    <w:rsid w:val="77416E84"/>
    <w:rsid w:val="7762504C"/>
    <w:rsid w:val="77846B1B"/>
    <w:rsid w:val="77C3056D"/>
    <w:rsid w:val="77D73344"/>
    <w:rsid w:val="78081EAE"/>
    <w:rsid w:val="78210A63"/>
    <w:rsid w:val="784F4642"/>
    <w:rsid w:val="789E20B4"/>
    <w:rsid w:val="79294D66"/>
    <w:rsid w:val="79A4490F"/>
    <w:rsid w:val="79D46DA9"/>
    <w:rsid w:val="79D51B05"/>
    <w:rsid w:val="79DE2C2A"/>
    <w:rsid w:val="79F20909"/>
    <w:rsid w:val="7A6A7564"/>
    <w:rsid w:val="7AA339B1"/>
    <w:rsid w:val="7AC334D3"/>
    <w:rsid w:val="7B2C39A7"/>
    <w:rsid w:val="7C1D1542"/>
    <w:rsid w:val="7C266648"/>
    <w:rsid w:val="7C5763D7"/>
    <w:rsid w:val="7C9A33C3"/>
    <w:rsid w:val="7CA53A11"/>
    <w:rsid w:val="7CF6426C"/>
    <w:rsid w:val="7D330ED8"/>
    <w:rsid w:val="7DAA54CD"/>
    <w:rsid w:val="7DBF4FA6"/>
    <w:rsid w:val="7DC75C09"/>
    <w:rsid w:val="7DE05D96"/>
    <w:rsid w:val="7E0E64D2"/>
    <w:rsid w:val="7E2E5C88"/>
    <w:rsid w:val="7EA30424"/>
    <w:rsid w:val="7F136BDF"/>
    <w:rsid w:val="7F3217A8"/>
    <w:rsid w:val="7FB25622"/>
    <w:rsid w:val="7FB60D60"/>
    <w:rsid w:val="7FD85EAB"/>
    <w:rsid w:val="7FEC0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spacing w:beforeAutospacing="1" w:afterAutospacing="1"/>
      <w:outlineLvl w:val="1"/>
    </w:pPr>
    <w:rPr>
      <w:rFonts w:hint="eastAsia" w:ascii="宋体" w:hAnsi="宋体" w:eastAsia="宋体" w:cs="Times New Roman"/>
      <w:b/>
      <w:bCs/>
      <w:sz w:val="36"/>
      <w:szCs w:val="36"/>
    </w:rPr>
  </w:style>
  <w:style w:type="paragraph" w:styleId="4">
    <w:name w:val="heading 3"/>
    <w:basedOn w:val="1"/>
    <w:next w:val="1"/>
    <w:link w:val="19"/>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spacing w:beforeAutospacing="1" w:afterAutospacing="1"/>
      <w:outlineLvl w:val="3"/>
    </w:pPr>
    <w:rPr>
      <w:rFonts w:hint="eastAsia" w:ascii="宋体" w:hAnsi="宋体" w:eastAsia="宋体" w:cs="Times New Roman"/>
      <w:b/>
      <w:bCs/>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qFormat/>
    <w:uiPriority w:val="1"/>
    <w:pPr>
      <w:ind w:left="120"/>
    </w:pPr>
    <w:rPr>
      <w:sz w:val="32"/>
      <w:szCs w:val="32"/>
    </w:rPr>
  </w:style>
  <w:style w:type="paragraph" w:styleId="7">
    <w:name w:val="Title"/>
    <w:basedOn w:val="1"/>
    <w:next w:val="1"/>
    <w:qFormat/>
    <w:uiPriority w:val="0"/>
    <w:pPr>
      <w:spacing w:before="240" w:after="60"/>
      <w:jc w:val="center"/>
    </w:pPr>
    <w:rPr>
      <w:rFonts w:ascii="Cambria" w:hAnsi="Cambria" w:cs="Times New Roman"/>
      <w:b/>
      <w:bCs/>
      <w:sz w:val="32"/>
      <w:szCs w:val="32"/>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toc 1"/>
    <w:basedOn w:val="1"/>
    <w:next w:val="1"/>
    <w:qFormat/>
    <w:uiPriority w:val="0"/>
  </w:style>
  <w:style w:type="paragraph" w:styleId="12">
    <w:name w:val="footnote text"/>
    <w:basedOn w:val="1"/>
    <w:qFormat/>
    <w:uiPriority w:val="0"/>
    <w:rPr>
      <w:sz w:val="18"/>
    </w:rPr>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pPr>
    <w:rPr>
      <w:rFonts w:cs="Times New Roman"/>
      <w:sz w:val="24"/>
    </w:rPr>
  </w:style>
  <w:style w:type="character" w:styleId="17">
    <w:name w:val="Strong"/>
    <w:basedOn w:val="16"/>
    <w:qFormat/>
    <w:uiPriority w:val="0"/>
    <w:rPr>
      <w:b/>
    </w:rPr>
  </w:style>
  <w:style w:type="character" w:styleId="18">
    <w:name w:val="footnote reference"/>
    <w:basedOn w:val="16"/>
    <w:qFormat/>
    <w:uiPriority w:val="0"/>
    <w:rPr>
      <w:vertAlign w:val="superscript"/>
    </w:rPr>
  </w:style>
  <w:style w:type="character" w:customStyle="1" w:styleId="19">
    <w:name w:val="标题 3 字符"/>
    <w:link w:val="4"/>
    <w:qFormat/>
    <w:uiPriority w:val="0"/>
    <w:rPr>
      <w:b/>
      <w:sz w:val="32"/>
    </w:rPr>
  </w:style>
  <w:style w:type="paragraph" w:customStyle="1" w:styleId="20">
    <w:name w:val="列表段落1"/>
    <w:basedOn w:val="1"/>
    <w:qFormat/>
    <w:uiPriority w:val="34"/>
    <w:pPr>
      <w:spacing w:before="32"/>
      <w:ind w:left="120" w:right="198" w:firstLine="641"/>
      <w:jc w:val="both"/>
    </w:p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3">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8176</Words>
  <Characters>2047</Characters>
  <Lines>17</Lines>
  <Paragraphs>20</Paragraphs>
  <TotalTime>40</TotalTime>
  <ScaleCrop>false</ScaleCrop>
  <LinksUpToDate>false</LinksUpToDate>
  <CharactersWithSpaces>10203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2023-08-12T14:42:00Z</dcterms:created>
  <dc:creator>ZYC</dc:creator>
  <cp:lastModifiedBy>ZHUWC</cp:lastModifiedBy>
  <dcterms:modified xsi:type="dcterms:W3CDTF">2023-08-30T15:15:09Z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4A6CE0CC8F9B4B63867A322259863582_13</vt:lpwstr>
  </property>
</Properties>
</file>