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w:t>
      </w:r>
      <w:bookmarkStart w:id="0" w:name="_GoBack"/>
      <w:bookmarkEnd w:id="0"/>
    </w:p>
    <w:p>
      <w:pPr>
        <w:keepNext w:val="0"/>
        <w:keepLines w:val="0"/>
        <w:pageBreakBefore w:val="0"/>
        <w:widowControl w:val="0"/>
        <w:kinsoku/>
        <w:wordWrap/>
        <w:overflowPunct/>
        <w:topLinePunct w:val="0"/>
        <w:autoSpaceDE w:val="0"/>
        <w:autoSpaceDN w:val="0"/>
        <w:bidi w:val="0"/>
        <w:adjustRightInd w:val="0"/>
        <w:snapToGrid w:val="0"/>
        <w:spacing w:line="540" w:lineRule="exact"/>
        <w:jc w:val="center"/>
        <w:textAlignment w:val="auto"/>
        <w:rPr>
          <w:rFonts w:hint="eastAsia" w:ascii="方正小标宋简体" w:hAnsi="方正小标宋简体" w:eastAsia="方正小标宋简体" w:cs="方正小标宋简体"/>
          <w:kern w:val="0"/>
          <w:sz w:val="44"/>
          <w:szCs w:val="44"/>
          <w:highlight w:val="none"/>
          <w:lang w:val="en-US" w:eastAsia="zh-CN" w:bidi="ar-SA"/>
        </w:rPr>
      </w:pPr>
    </w:p>
    <w:p>
      <w:pPr>
        <w:keepNext w:val="0"/>
        <w:keepLines w:val="0"/>
        <w:pageBreakBefore w:val="0"/>
        <w:widowControl w:val="0"/>
        <w:kinsoku/>
        <w:wordWrap/>
        <w:overflowPunct/>
        <w:topLinePunct w:val="0"/>
        <w:autoSpaceDE w:val="0"/>
        <w:autoSpaceDN w:val="0"/>
        <w:bidi w:val="0"/>
        <w:adjustRightInd w:val="0"/>
        <w:snapToGrid w:val="0"/>
        <w:spacing w:line="540" w:lineRule="exact"/>
        <w:jc w:val="center"/>
        <w:textAlignment w:val="auto"/>
        <w:rPr>
          <w:rFonts w:hint="eastAsia" w:ascii="方正小标宋简体" w:hAnsi="方正小标宋简体" w:eastAsia="方正小标宋简体" w:cs="方正小标宋简体"/>
          <w:kern w:val="0"/>
          <w:sz w:val="44"/>
          <w:szCs w:val="44"/>
          <w:highlight w:val="none"/>
          <w:lang w:val="en-US" w:eastAsia="zh-CN" w:bidi="ar-SA"/>
        </w:rPr>
      </w:pPr>
      <w:r>
        <w:rPr>
          <w:rFonts w:hint="eastAsia" w:ascii="方正小标宋简体" w:hAnsi="方正小标宋简体" w:eastAsia="方正小标宋简体" w:cs="方正小标宋简体"/>
          <w:kern w:val="0"/>
          <w:sz w:val="44"/>
          <w:szCs w:val="44"/>
          <w:highlight w:val="none"/>
          <w:lang w:val="en-US" w:eastAsia="zh-CN" w:bidi="ar-SA"/>
        </w:rPr>
        <w:t>深圳市龙岗区工业和信息化产业发展专项资金关于支持人工智能产业引领高质量发展</w:t>
      </w:r>
    </w:p>
    <w:p>
      <w:pPr>
        <w:keepNext w:val="0"/>
        <w:keepLines w:val="0"/>
        <w:pageBreakBefore w:val="0"/>
        <w:widowControl w:val="0"/>
        <w:kinsoku/>
        <w:wordWrap/>
        <w:overflowPunct/>
        <w:topLinePunct w:val="0"/>
        <w:autoSpaceDE w:val="0"/>
        <w:autoSpaceDN w:val="0"/>
        <w:bidi w:val="0"/>
        <w:adjustRightInd w:val="0"/>
        <w:snapToGrid w:val="0"/>
        <w:spacing w:line="540" w:lineRule="exact"/>
        <w:jc w:val="center"/>
        <w:textAlignment w:val="auto"/>
        <w:rPr>
          <w:rFonts w:hint="eastAsia" w:ascii="方正小标宋简体" w:hAnsi="方正小标宋简体" w:eastAsia="方正小标宋简体" w:cs="方正小标宋简体"/>
          <w:kern w:val="0"/>
          <w:sz w:val="44"/>
          <w:szCs w:val="44"/>
          <w:highlight w:val="none"/>
          <w:lang w:val="en-US" w:eastAsia="zh-CN" w:bidi="ar-SA"/>
        </w:rPr>
      </w:pPr>
      <w:r>
        <w:rPr>
          <w:rFonts w:hint="eastAsia" w:ascii="方正小标宋简体" w:hAnsi="方正小标宋简体" w:eastAsia="方正小标宋简体" w:cs="方正小标宋简体"/>
          <w:kern w:val="0"/>
          <w:sz w:val="44"/>
          <w:szCs w:val="44"/>
          <w:highlight w:val="none"/>
          <w:lang w:val="en-US" w:eastAsia="zh-CN" w:bidi="ar-SA"/>
        </w:rPr>
        <w:t>实施细则</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left"/>
        <w:textAlignment w:val="auto"/>
        <w:rPr>
          <w:rFonts w:ascii="Arial" w:hAnsi="Arial" w:eastAsia="仿宋" w:cs="Arial"/>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rPr>
          <w:rFonts w:ascii="Calibri" w:hAnsi="Calibri"/>
          <w:b/>
          <w:color w:val="auto"/>
          <w:sz w:val="32"/>
          <w:szCs w:val="32"/>
          <w:highlight w:val="none"/>
        </w:rPr>
      </w:pPr>
      <w:r>
        <w:rPr>
          <w:rFonts w:hint="eastAsia" w:ascii="黑体" w:hAnsi="黑体" w:eastAsia="黑体" w:cs="Arial"/>
          <w:color w:val="auto"/>
          <w:sz w:val="32"/>
          <w:szCs w:val="32"/>
          <w:highlight w:val="none"/>
        </w:rPr>
        <w:t>第一章 总则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rPr>
        <w:t>第一条</w:t>
      </w:r>
      <w:r>
        <w:rPr>
          <w:rFonts w:hint="eastAsia" w:ascii="楷体_GB2312" w:hAnsi="楷体_GB2312" w:eastAsia="楷体_GB2312" w:cs="楷体_GB2312"/>
          <w:b/>
          <w:bCs/>
          <w:sz w:val="32"/>
          <w:szCs w:val="36"/>
          <w:highlight w:val="none"/>
        </w:rPr>
        <w:t xml:space="preserve"> </w:t>
      </w:r>
      <w:r>
        <w:rPr>
          <w:rFonts w:hint="eastAsia" w:ascii="仿宋_GB2312" w:hAnsi="仿宋_GB2312" w:eastAsia="仿宋_GB2312" w:cs="仿宋_GB2312"/>
          <w:sz w:val="32"/>
          <w:szCs w:val="36"/>
          <w:highlight w:val="none"/>
        </w:rPr>
        <w:t>根据《深圳市龙岗区区级财政专项资金管理办法（修订）》（深龙府规〔2024〕4号）</w:t>
      </w:r>
      <w:r>
        <w:rPr>
          <w:rFonts w:hint="eastAsia" w:ascii="仿宋_GB2312" w:hAnsi="仿宋_GB2312" w:eastAsia="仿宋_GB2312" w:cs="仿宋_GB2312"/>
          <w:sz w:val="32"/>
          <w:szCs w:val="36"/>
          <w:highlight w:val="none"/>
          <w:lang w:eastAsia="zh-CN"/>
        </w:rPr>
        <w:t>《深圳市龙岗区关于支持人工智能产业引领高质量发展若干措施》（深龙工信规〔2024〕7号）等文件要求，</w:t>
      </w:r>
      <w:r>
        <w:rPr>
          <w:rFonts w:hint="eastAsia" w:ascii="仿宋_GB2312" w:hAnsi="仿宋_GB2312" w:eastAsia="仿宋_GB2312" w:cs="仿宋_GB2312"/>
          <w:sz w:val="32"/>
          <w:szCs w:val="36"/>
          <w:highlight w:val="none"/>
        </w:rPr>
        <w:t>结合工作实际，制定本实施细则。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rPr>
        <w:t xml:space="preserve">第二条 </w:t>
      </w:r>
      <w:r>
        <w:rPr>
          <w:rFonts w:hint="eastAsia" w:ascii="仿宋_GB2312" w:hAnsi="仿宋_GB2312" w:eastAsia="仿宋_GB2312" w:cs="仿宋_GB2312"/>
          <w:sz w:val="32"/>
          <w:szCs w:val="36"/>
          <w:highlight w:val="none"/>
        </w:rPr>
        <w:t>本实施细则所需资金从深圳市龙岗区工业和信息化产业发展专项资金中列支，实行总额控制，如果年度资助规模超出财政预算，则对扶持项目应获资助金额按比例核减。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rPr>
        <w:t>第</w:t>
      </w:r>
      <w:r>
        <w:rPr>
          <w:rFonts w:hint="eastAsia" w:ascii="楷体_GB2312" w:hAnsi="楷体_GB2312" w:eastAsia="楷体_GB2312" w:cs="楷体_GB2312"/>
          <w:b w:val="0"/>
          <w:bCs w:val="0"/>
          <w:sz w:val="32"/>
          <w:szCs w:val="36"/>
          <w:highlight w:val="none"/>
          <w:lang w:eastAsia="zh-CN"/>
        </w:rPr>
        <w:t>三</w:t>
      </w:r>
      <w:r>
        <w:rPr>
          <w:rFonts w:hint="eastAsia" w:ascii="楷体_GB2312" w:hAnsi="楷体_GB2312" w:eastAsia="楷体_GB2312" w:cs="楷体_GB2312"/>
          <w:b w:val="0"/>
          <w:bCs w:val="0"/>
          <w:sz w:val="32"/>
          <w:szCs w:val="36"/>
          <w:highlight w:val="none"/>
        </w:rPr>
        <w:t>条</w:t>
      </w:r>
      <w:r>
        <w:rPr>
          <w:rFonts w:hint="eastAsia" w:ascii="楷体_GB2312" w:hAnsi="楷体_GB2312" w:eastAsia="楷体_GB2312" w:cs="楷体_GB2312"/>
          <w:b w:val="0"/>
          <w:bCs w:val="0"/>
          <w:sz w:val="32"/>
          <w:szCs w:val="36"/>
          <w:highlight w:val="none"/>
          <w:lang w:val="en-US" w:eastAsia="zh-CN"/>
        </w:rPr>
        <w:t xml:space="preserve"> </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龙岗区人工智能（机器人）署是本细则的实施部门。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p>
    <w:p>
      <w:pPr>
        <w:keepNext w:val="0"/>
        <w:keepLines w:val="0"/>
        <w:pageBreakBefore w:val="0"/>
        <w:widowControl w:val="0"/>
        <w:numPr>
          <w:ilvl w:val="-1"/>
          <w:numId w:val="0"/>
        </w:numPr>
        <w:kinsoku/>
        <w:wordWrap/>
        <w:overflowPunct/>
        <w:topLinePunct w:val="0"/>
        <w:autoSpaceDE/>
        <w:autoSpaceDN/>
        <w:bidi w:val="0"/>
        <w:adjustRightInd w:val="0"/>
        <w:snapToGrid w:val="0"/>
        <w:spacing w:line="540" w:lineRule="exact"/>
        <w:ind w:firstLine="640" w:firstLineChars="200"/>
        <w:jc w:val="center"/>
        <w:textAlignment w:val="auto"/>
        <w:rPr>
          <w:rFonts w:ascii="仿宋_GB2312" w:hAnsi="仿宋_GB2312" w:eastAsia="仿宋_GB2312" w:cs="仿宋_GB2312"/>
          <w:color w:val="auto"/>
          <w:sz w:val="32"/>
          <w:szCs w:val="32"/>
          <w:highlight w:val="none"/>
        </w:rPr>
      </w:pPr>
      <w:r>
        <w:rPr>
          <w:rFonts w:hint="eastAsia" w:ascii="黑体" w:hAnsi="黑体" w:eastAsia="黑体" w:cs="Arial"/>
          <w:color w:val="auto"/>
          <w:sz w:val="32"/>
          <w:szCs w:val="32"/>
          <w:highlight w:val="none"/>
        </w:rPr>
        <w:t>第二章 扶持范围、标准和核准方式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rPr>
        <w:t>第</w:t>
      </w:r>
      <w:r>
        <w:rPr>
          <w:rFonts w:hint="eastAsia" w:ascii="楷体_GB2312" w:hAnsi="楷体_GB2312" w:eastAsia="楷体_GB2312" w:cs="楷体_GB2312"/>
          <w:b w:val="0"/>
          <w:bCs w:val="0"/>
          <w:sz w:val="32"/>
          <w:szCs w:val="36"/>
          <w:highlight w:val="none"/>
          <w:lang w:val="en-US" w:eastAsia="zh-CN"/>
        </w:rPr>
        <w:t>四</w:t>
      </w:r>
      <w:r>
        <w:rPr>
          <w:rFonts w:hint="eastAsia" w:ascii="楷体_GB2312" w:hAnsi="楷体_GB2312" w:eastAsia="楷体_GB2312" w:cs="楷体_GB2312"/>
          <w:b w:val="0"/>
          <w:bCs w:val="0"/>
          <w:sz w:val="32"/>
          <w:szCs w:val="36"/>
          <w:highlight w:val="none"/>
        </w:rPr>
        <w:t>条 人工智能</w:t>
      </w:r>
      <w:r>
        <w:rPr>
          <w:rFonts w:hint="eastAsia" w:ascii="楷体_GB2312" w:hAnsi="楷体_GB2312" w:eastAsia="楷体_GB2312" w:cs="楷体_GB2312"/>
          <w:b w:val="0"/>
          <w:bCs w:val="0"/>
          <w:sz w:val="32"/>
          <w:szCs w:val="36"/>
          <w:highlight w:val="none"/>
          <w:lang w:val="en-US" w:eastAsia="zh-CN"/>
        </w:rPr>
        <w:t>算力</w:t>
      </w:r>
      <w:r>
        <w:rPr>
          <w:rFonts w:hint="eastAsia" w:ascii="楷体_GB2312" w:hAnsi="楷体_GB2312" w:eastAsia="楷体_GB2312" w:cs="楷体_GB2312"/>
          <w:b w:val="0"/>
          <w:bCs w:val="0"/>
          <w:sz w:val="32"/>
          <w:szCs w:val="36"/>
          <w:highlight w:val="none"/>
        </w:rPr>
        <w:t>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（一）扶持范围：</w:t>
      </w:r>
      <w:r>
        <w:rPr>
          <w:rFonts w:hint="eastAsia" w:ascii="仿宋_GB2312" w:hAnsi="仿宋_GB2312" w:eastAsia="仿宋_GB2312" w:cs="仿宋_GB2312"/>
          <w:sz w:val="32"/>
          <w:szCs w:val="36"/>
          <w:highlight w:val="none"/>
          <w:lang w:val="en-US" w:eastAsia="zh-CN"/>
        </w:rPr>
        <w:t>购买非关联方的算力进行</w:t>
      </w:r>
      <w:r>
        <w:rPr>
          <w:rFonts w:hint="eastAsia" w:ascii="仿宋_GB2312" w:hAnsi="仿宋_GB2312" w:eastAsia="仿宋_GB2312" w:cs="仿宋_GB2312"/>
          <w:sz w:val="32"/>
          <w:szCs w:val="36"/>
          <w:highlight w:val="none"/>
        </w:rPr>
        <w:t>大模型训练推理、生成式人工智能应用探索</w:t>
      </w:r>
      <w:r>
        <w:rPr>
          <w:rFonts w:hint="eastAsia" w:ascii="仿宋_GB2312" w:hAnsi="仿宋_GB2312" w:eastAsia="仿宋_GB2312" w:cs="仿宋_GB2312"/>
          <w:sz w:val="32"/>
          <w:szCs w:val="36"/>
          <w:highlight w:val="none"/>
          <w:lang w:val="en-US" w:eastAsia="zh-CN"/>
        </w:rPr>
        <w:t>的企业</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（二）扶持方式和标准：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eastAsia="zh-CN"/>
        </w:rPr>
      </w:pPr>
      <w:r>
        <w:rPr>
          <w:rFonts w:hint="eastAsia" w:ascii="仿宋_GB2312" w:hAnsi="Arial" w:eastAsia="仿宋_GB2312" w:cs="Arial"/>
          <w:bCs w:val="0"/>
          <w:color w:val="auto"/>
          <w:sz w:val="32"/>
          <w:szCs w:val="32"/>
          <w:highlight w:val="none"/>
          <w:lang w:eastAsia="zh-CN"/>
        </w:rPr>
        <w:t>对于向算力供给方购买</w:t>
      </w:r>
      <w:r>
        <w:rPr>
          <w:rFonts w:hint="eastAsia" w:ascii="仿宋_GB2312" w:hAnsi="Arial" w:eastAsia="仿宋_GB2312" w:cs="Arial"/>
          <w:bCs w:val="0"/>
          <w:color w:val="auto"/>
          <w:sz w:val="32"/>
          <w:szCs w:val="32"/>
          <w:highlight w:val="none"/>
          <w:lang w:val="en-US" w:eastAsia="zh-CN"/>
        </w:rPr>
        <w:t>算力的企业，</w:t>
      </w:r>
      <w:r>
        <w:rPr>
          <w:rFonts w:hint="eastAsia" w:ascii="仿宋_GB2312" w:hAnsi="仿宋_GB2312" w:eastAsia="仿宋_GB2312" w:cs="仿宋_GB2312"/>
          <w:sz w:val="32"/>
          <w:szCs w:val="36"/>
          <w:highlight w:val="none"/>
        </w:rPr>
        <w:t>算力</w:t>
      </w:r>
      <w:r>
        <w:rPr>
          <w:rFonts w:hint="eastAsia" w:ascii="仿宋_GB2312" w:hAnsi="仿宋_GB2312" w:eastAsia="仿宋_GB2312" w:cs="仿宋_GB2312"/>
          <w:sz w:val="32"/>
          <w:szCs w:val="36"/>
          <w:highlight w:val="none"/>
          <w:lang w:val="en-US" w:eastAsia="zh-CN"/>
        </w:rPr>
        <w:t>服务费用须达到50万元（含）以上，</w:t>
      </w:r>
      <w:r>
        <w:rPr>
          <w:rFonts w:hint="eastAsia" w:ascii="仿宋_GB2312" w:hAnsi="仿宋_GB2312" w:eastAsia="仿宋_GB2312" w:cs="仿宋_GB2312"/>
          <w:sz w:val="32"/>
          <w:szCs w:val="36"/>
          <w:highlight w:val="none"/>
        </w:rPr>
        <w:t>按申报指南发布前一周期年度内</w:t>
      </w:r>
      <w:r>
        <w:rPr>
          <w:rFonts w:hint="eastAsia" w:ascii="仿宋_GB2312" w:hAnsi="仿宋_GB2312" w:eastAsia="仿宋_GB2312" w:cs="仿宋_GB2312"/>
          <w:sz w:val="32"/>
          <w:szCs w:val="36"/>
          <w:highlight w:val="none"/>
          <w:lang w:eastAsia="zh-CN"/>
        </w:rPr>
        <w:t>实际发生的</w:t>
      </w:r>
      <w:r>
        <w:rPr>
          <w:rFonts w:hint="eastAsia" w:ascii="仿宋_GB2312" w:hAnsi="仿宋_GB2312" w:eastAsia="仿宋_GB2312" w:cs="仿宋_GB2312"/>
          <w:sz w:val="32"/>
          <w:szCs w:val="36"/>
          <w:highlight w:val="none"/>
        </w:rPr>
        <w:t>算力</w:t>
      </w:r>
      <w:r>
        <w:rPr>
          <w:rFonts w:hint="eastAsia" w:ascii="仿宋_GB2312" w:hAnsi="仿宋_GB2312" w:eastAsia="仿宋_GB2312" w:cs="仿宋_GB2312"/>
          <w:sz w:val="32"/>
          <w:szCs w:val="36"/>
          <w:highlight w:val="none"/>
          <w:lang w:val="en-US" w:eastAsia="zh-CN"/>
        </w:rPr>
        <w:t>服务费用</w:t>
      </w:r>
      <w:r>
        <w:rPr>
          <w:rFonts w:hint="eastAsia" w:ascii="仿宋_GB2312" w:hAnsi="仿宋_GB2312" w:eastAsia="仿宋_GB2312" w:cs="仿宋_GB2312"/>
          <w:sz w:val="32"/>
          <w:szCs w:val="36"/>
          <w:highlight w:val="none"/>
          <w:lang w:eastAsia="zh-CN"/>
        </w:rPr>
        <w:t>的</w:t>
      </w:r>
      <w:r>
        <w:rPr>
          <w:rFonts w:hint="default" w:ascii="仿宋_GB2312" w:hAnsi="仿宋_GB2312" w:eastAsia="仿宋_GB2312" w:cs="仿宋_GB2312"/>
          <w:sz w:val="32"/>
          <w:szCs w:val="36"/>
          <w:highlight w:val="none"/>
          <w:lang w:val="en-US" w:eastAsia="zh-CN"/>
        </w:rPr>
        <w:t>3</w:t>
      </w:r>
      <w:r>
        <w:rPr>
          <w:rFonts w:hint="eastAsia" w:ascii="仿宋_GB2312" w:hAnsi="仿宋_GB2312" w:eastAsia="仿宋_GB2312" w:cs="仿宋_GB2312"/>
          <w:sz w:val="32"/>
          <w:szCs w:val="36"/>
          <w:highlight w:val="none"/>
        </w:rPr>
        <w:t>0%</w:t>
      </w:r>
      <w:r>
        <w:rPr>
          <w:rFonts w:hint="eastAsia" w:ascii="仿宋_GB2312" w:hAnsi="仿宋_GB2312" w:eastAsia="仿宋_GB2312" w:cs="仿宋_GB2312"/>
          <w:sz w:val="32"/>
          <w:szCs w:val="36"/>
          <w:highlight w:val="none"/>
          <w:lang w:val="en-US" w:eastAsia="zh-CN"/>
        </w:rPr>
        <w:t>予以支持</w:t>
      </w:r>
      <w:r>
        <w:rPr>
          <w:rFonts w:hint="eastAsia" w:ascii="仿宋_GB2312" w:hAnsi="仿宋_GB2312" w:eastAsia="仿宋_GB2312" w:cs="仿宋_GB2312"/>
          <w:sz w:val="32"/>
          <w:szCs w:val="36"/>
          <w:highlight w:val="none"/>
        </w:rPr>
        <w:t>，</w:t>
      </w:r>
      <w:r>
        <w:rPr>
          <w:rFonts w:hint="eastAsia" w:ascii="仿宋_GB2312" w:hAnsi="Arial" w:eastAsia="仿宋_GB2312" w:cs="Arial"/>
          <w:bCs w:val="0"/>
          <w:color w:val="auto"/>
          <w:sz w:val="32"/>
          <w:szCs w:val="32"/>
          <w:highlight w:val="none"/>
          <w:lang w:eastAsia="zh-CN"/>
        </w:rPr>
        <w:t>每家企业每年</w:t>
      </w:r>
      <w:r>
        <w:rPr>
          <w:rFonts w:hint="eastAsia" w:ascii="仿宋_GB2312" w:hAnsi="仿宋_GB2312" w:eastAsia="仿宋_GB2312" w:cs="仿宋_GB2312"/>
          <w:sz w:val="32"/>
          <w:szCs w:val="36"/>
          <w:highlight w:val="none"/>
          <w:lang w:val="en-US" w:eastAsia="zh-CN"/>
        </w:rPr>
        <w:t>最高</w:t>
      </w:r>
      <w:r>
        <w:rPr>
          <w:rFonts w:hint="eastAsia" w:ascii="仿宋_GB2312" w:hAnsi="仿宋_GB2312" w:eastAsia="仿宋_GB2312" w:cs="仿宋_GB2312"/>
          <w:sz w:val="32"/>
          <w:szCs w:val="36"/>
          <w:highlight w:val="none"/>
          <w:lang w:eastAsia="zh-CN"/>
        </w:rPr>
        <w:t>不超过</w:t>
      </w:r>
      <w:r>
        <w:rPr>
          <w:rFonts w:hint="eastAsia" w:ascii="仿宋_GB2312" w:hAnsi="仿宋_GB2312" w:eastAsia="仿宋_GB2312" w:cs="仿宋_GB2312"/>
          <w:sz w:val="32"/>
          <w:szCs w:val="36"/>
          <w:highlight w:val="none"/>
          <w:lang w:val="en-US" w:eastAsia="zh-CN"/>
        </w:rPr>
        <w:t>6</w:t>
      </w:r>
      <w:r>
        <w:rPr>
          <w:rFonts w:hint="eastAsia" w:ascii="仿宋_GB2312" w:hAnsi="仿宋_GB2312" w:eastAsia="仿宋_GB2312" w:cs="仿宋_GB2312"/>
          <w:sz w:val="32"/>
          <w:szCs w:val="36"/>
          <w:highlight w:val="none"/>
          <w:lang w:eastAsia="zh-CN"/>
        </w:rPr>
        <w:t>00万元。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eastAsia="zh-CN"/>
        </w:rPr>
      </w:pPr>
      <w:r>
        <w:rPr>
          <w:rFonts w:hint="eastAsia" w:ascii="仿宋_GB2312" w:hAnsi="Arial" w:eastAsia="仿宋_GB2312" w:cs="Arial"/>
          <w:color w:val="auto"/>
          <w:sz w:val="32"/>
          <w:szCs w:val="32"/>
          <w:highlight w:val="none"/>
          <w:lang w:val="en-US" w:eastAsia="zh-CN"/>
        </w:rPr>
        <w:t>其中，算力供给方须具备在龙岗区开展智能算力服务的基础，并且符合以下任一条件</w:t>
      </w:r>
      <w:r>
        <w:rPr>
          <w:rFonts w:hint="eastAsia" w:ascii="仿宋_GB2312" w:hAnsi="Arial" w:eastAsia="仿宋_GB2312" w:cs="Arial"/>
          <w:bCs w:val="0"/>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1.须为政府部门认可的智能算力训力服务机构；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2.能提供的智能算力规模须达到2000P FLOPS（FP16）（含）以上。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rPr>
        <w:t>（三）审核方式：核准制。以企业提供的</w:t>
      </w:r>
      <w:r>
        <w:rPr>
          <w:rFonts w:hint="default" w:ascii="仿宋_GB2312" w:hAnsi="仿宋_GB2312" w:eastAsia="仿宋_GB2312" w:cs="仿宋_GB2312"/>
          <w:sz w:val="32"/>
          <w:szCs w:val="36"/>
          <w:highlight w:val="none"/>
        </w:rPr>
        <w:t>合同凭证、发票、</w:t>
      </w:r>
      <w:r>
        <w:rPr>
          <w:rFonts w:hint="eastAsia" w:ascii="仿宋_GB2312" w:hAnsi="仿宋_GB2312" w:eastAsia="仿宋_GB2312" w:cs="仿宋_GB2312"/>
          <w:sz w:val="32"/>
          <w:szCs w:val="36"/>
          <w:highlight w:val="none"/>
        </w:rPr>
        <w:t>算力交付凭证</w:t>
      </w:r>
      <w:r>
        <w:rPr>
          <w:rFonts w:hint="default" w:ascii="仿宋_GB2312" w:hAnsi="仿宋_GB2312" w:eastAsia="仿宋_GB2312" w:cs="仿宋_GB2312"/>
          <w:sz w:val="32"/>
          <w:szCs w:val="36"/>
          <w:highlight w:val="none"/>
          <w:lang w:eastAsia="zh-CN"/>
        </w:rPr>
        <w:t>等</w:t>
      </w:r>
      <w:r>
        <w:rPr>
          <w:rFonts w:hint="eastAsia" w:ascii="仿宋_GB2312" w:hAnsi="仿宋_GB2312" w:eastAsia="仿宋_GB2312" w:cs="仿宋_GB2312"/>
          <w:sz w:val="32"/>
          <w:szCs w:val="36"/>
          <w:highlight w:val="none"/>
          <w:lang w:val="en-US" w:eastAsia="zh-CN"/>
        </w:rPr>
        <w:t>其他所需的</w:t>
      </w:r>
      <w:r>
        <w:rPr>
          <w:rFonts w:hint="eastAsia" w:ascii="仿宋_GB2312" w:hAnsi="仿宋_GB2312" w:eastAsia="仿宋_GB2312" w:cs="仿宋_GB2312"/>
          <w:sz w:val="32"/>
          <w:szCs w:val="36"/>
          <w:highlight w:val="none"/>
        </w:rPr>
        <w:t>相关证明材料为</w:t>
      </w:r>
      <w:r>
        <w:rPr>
          <w:rFonts w:hint="eastAsia" w:ascii="仿宋_GB2312" w:hAnsi="仿宋_GB2312" w:eastAsia="仿宋_GB2312" w:cs="仿宋_GB2312"/>
          <w:sz w:val="32"/>
          <w:szCs w:val="36"/>
          <w:highlight w:val="none"/>
          <w:lang w:val="en-US" w:eastAsia="zh-CN"/>
        </w:rPr>
        <w:t>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lang w:val="en-US" w:eastAsia="zh-CN"/>
        </w:rPr>
        <w:t xml:space="preserve">第五条 </w:t>
      </w:r>
      <w:r>
        <w:rPr>
          <w:rFonts w:hint="eastAsia" w:ascii="楷体_GB2312" w:hAnsi="楷体_GB2312" w:eastAsia="楷体_GB2312" w:cs="楷体_GB2312"/>
          <w:color w:val="auto"/>
          <w:sz w:val="32"/>
          <w:szCs w:val="36"/>
          <w:highlight w:val="none"/>
        </w:rPr>
        <w:t>企业用数成本</w:t>
      </w:r>
      <w:r>
        <w:rPr>
          <w:rFonts w:hint="eastAsia" w:ascii="楷体_GB2312" w:hAnsi="楷体_GB2312" w:eastAsia="楷体_GB2312" w:cs="楷体_GB2312"/>
          <w:b w:val="0"/>
          <w:bCs w:val="0"/>
          <w:sz w:val="32"/>
          <w:szCs w:val="36"/>
          <w:highlight w:val="none"/>
          <w:lang w:val="en-US" w:eastAsia="zh-CN"/>
        </w:rPr>
        <w:t>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b w:val="0"/>
          <w:bCs w:val="0"/>
          <w:sz w:val="32"/>
          <w:szCs w:val="36"/>
          <w:highlight w:val="none"/>
          <w:lang w:val="en-US" w:eastAsia="zh-CN"/>
        </w:rPr>
      </w:pPr>
      <w:r>
        <w:rPr>
          <w:rFonts w:hint="eastAsia" w:ascii="仿宋_GB2312" w:hAnsi="仿宋_GB2312" w:eastAsia="仿宋_GB2312" w:cs="仿宋_GB2312"/>
          <w:sz w:val="32"/>
          <w:szCs w:val="36"/>
          <w:highlight w:val="none"/>
        </w:rPr>
        <w:t>（一）扶持范围：</w:t>
      </w:r>
      <w:r>
        <w:rPr>
          <w:rFonts w:hint="eastAsia" w:ascii="仿宋_GB2312" w:hAnsi="Arial" w:eastAsia="仿宋_GB2312" w:cs="Arial"/>
          <w:color w:val="auto"/>
          <w:sz w:val="32"/>
          <w:szCs w:val="32"/>
          <w:highlight w:val="none"/>
          <w:lang w:eastAsia="zh-CN"/>
        </w:rPr>
        <w:t>通过数据交易平台购买非关联方的语料数据进行大模型研发和应用</w:t>
      </w:r>
      <w:r>
        <w:rPr>
          <w:rFonts w:hint="eastAsia" w:ascii="仿宋_GB2312" w:hAnsi="Arial" w:eastAsia="仿宋_GB2312" w:cs="Arial"/>
          <w:bCs w:val="0"/>
          <w:color w:val="auto"/>
          <w:sz w:val="32"/>
          <w:szCs w:val="32"/>
          <w:highlight w:val="none"/>
          <w:lang w:eastAsia="zh-CN"/>
        </w:rPr>
        <w:t>的企业</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b w:val="0"/>
          <w:bCs w:val="0"/>
          <w:sz w:val="32"/>
          <w:szCs w:val="36"/>
          <w:highlight w:val="none"/>
          <w:lang w:val="en-US" w:eastAsia="zh-CN"/>
        </w:rPr>
      </w:pPr>
      <w:r>
        <w:rPr>
          <w:rFonts w:hint="eastAsia" w:ascii="仿宋_GB2312" w:hAnsi="仿宋_GB2312" w:eastAsia="仿宋_GB2312" w:cs="仿宋_GB2312"/>
          <w:sz w:val="32"/>
          <w:szCs w:val="36"/>
          <w:highlight w:val="none"/>
        </w:rPr>
        <w:t>（二）扶持方式和标准：</w:t>
      </w:r>
      <w:r>
        <w:rPr>
          <w:rFonts w:hint="eastAsia" w:ascii="仿宋_GB2312" w:hAnsi="仿宋_GB2312" w:eastAsia="仿宋_GB2312" w:cs="仿宋_GB2312"/>
          <w:sz w:val="32"/>
          <w:szCs w:val="36"/>
          <w:highlight w:val="none"/>
          <w:lang w:val="en-US" w:eastAsia="zh-CN"/>
        </w:rPr>
        <w:t>对购买语料数据的企业，</w:t>
      </w:r>
      <w:r>
        <w:rPr>
          <w:rFonts w:hint="eastAsia" w:ascii="仿宋_GB2312" w:hAnsi="仿宋_GB2312" w:eastAsia="仿宋_GB2312" w:cs="仿宋_GB2312"/>
          <w:sz w:val="32"/>
          <w:szCs w:val="36"/>
          <w:highlight w:val="none"/>
        </w:rPr>
        <w:t>按</w:t>
      </w:r>
      <w:r>
        <w:rPr>
          <w:rFonts w:hint="eastAsia" w:ascii="仿宋_GB2312" w:hAnsi="Arial" w:eastAsia="仿宋_GB2312" w:cs="Arial"/>
          <w:color w:val="auto"/>
          <w:sz w:val="32"/>
          <w:szCs w:val="32"/>
          <w:highlight w:val="none"/>
          <w:lang w:val="en-US" w:eastAsia="zh-CN"/>
        </w:rPr>
        <w:t>申报指南发布前一周期年度内</w:t>
      </w:r>
      <w:r>
        <w:rPr>
          <w:rFonts w:hint="default" w:ascii="仿宋_GB2312" w:hAnsi="仿宋_GB2312" w:eastAsia="仿宋_GB2312" w:cs="仿宋_GB2312"/>
          <w:sz w:val="32"/>
          <w:szCs w:val="36"/>
          <w:highlight w:val="none"/>
          <w:lang w:val="en-US"/>
        </w:rPr>
        <w:t>实际</w:t>
      </w:r>
      <w:r>
        <w:rPr>
          <w:rFonts w:hint="eastAsia" w:ascii="仿宋_GB2312" w:hAnsi="仿宋_GB2312" w:eastAsia="仿宋_GB2312" w:cs="仿宋_GB2312"/>
          <w:sz w:val="32"/>
          <w:szCs w:val="36"/>
          <w:highlight w:val="none"/>
          <w:lang w:val="en-US" w:eastAsia="zh-CN"/>
        </w:rPr>
        <w:t>发生的语料数据合同额</w:t>
      </w:r>
      <w:r>
        <w:rPr>
          <w:rFonts w:hint="eastAsia" w:ascii="仿宋_GB2312" w:hAnsi="仿宋_GB2312" w:eastAsia="仿宋_GB2312" w:cs="仿宋_GB2312"/>
          <w:sz w:val="32"/>
          <w:szCs w:val="36"/>
          <w:highlight w:val="none"/>
        </w:rPr>
        <w:t>的</w:t>
      </w:r>
      <w:r>
        <w:rPr>
          <w:rFonts w:hint="eastAsia" w:ascii="仿宋_GB2312" w:hAnsi="仿宋_GB2312" w:eastAsia="仿宋_GB2312" w:cs="仿宋_GB2312"/>
          <w:sz w:val="32"/>
          <w:szCs w:val="36"/>
          <w:highlight w:val="none"/>
          <w:lang w:val="en-US" w:eastAsia="zh-CN"/>
        </w:rPr>
        <w:t>2</w:t>
      </w:r>
      <w:r>
        <w:rPr>
          <w:rFonts w:hint="eastAsia" w:ascii="仿宋_GB2312" w:hAnsi="仿宋_GB2312" w:eastAsia="仿宋_GB2312" w:cs="仿宋_GB2312"/>
          <w:sz w:val="32"/>
          <w:szCs w:val="36"/>
          <w:highlight w:val="none"/>
        </w:rPr>
        <w:t>0%给予支持，每家企业每年最高</w:t>
      </w:r>
      <w:r>
        <w:rPr>
          <w:rFonts w:hint="eastAsia" w:ascii="仿宋_GB2312" w:hAnsi="仿宋_GB2312" w:eastAsia="仿宋_GB2312" w:cs="仿宋_GB2312"/>
          <w:sz w:val="32"/>
          <w:szCs w:val="36"/>
          <w:highlight w:val="none"/>
          <w:lang w:val="en-US" w:eastAsia="zh-CN"/>
        </w:rPr>
        <w:t>10</w:t>
      </w:r>
      <w:r>
        <w:rPr>
          <w:rFonts w:hint="eastAsia" w:ascii="仿宋_GB2312" w:hAnsi="仿宋_GB2312" w:eastAsia="仿宋_GB2312" w:cs="仿宋_GB2312"/>
          <w:sz w:val="32"/>
          <w:szCs w:val="36"/>
          <w:highlight w:val="none"/>
        </w:rPr>
        <w:t>0万元</w:t>
      </w:r>
      <w:r>
        <w:rPr>
          <w:rFonts w:hint="eastAsia" w:ascii="仿宋_GB2312" w:hAnsi="仿宋_GB2312" w:eastAsia="仿宋_GB2312" w:cs="仿宋_GB2312"/>
          <w:sz w:val="32"/>
          <w:szCs w:val="36"/>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lang w:val="en-US" w:eastAsia="zh-CN"/>
        </w:rPr>
        <w:t>三</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审核方式：核准制。以企业提供的</w:t>
      </w:r>
      <w:r>
        <w:rPr>
          <w:rFonts w:hint="default" w:ascii="仿宋_GB2312" w:hAnsi="仿宋_GB2312" w:eastAsia="仿宋_GB2312" w:cs="仿宋_GB2312"/>
          <w:sz w:val="32"/>
          <w:szCs w:val="36"/>
          <w:highlight w:val="none"/>
        </w:rPr>
        <w:t>合同凭证、发票、</w:t>
      </w:r>
      <w:r>
        <w:rPr>
          <w:rFonts w:hint="eastAsia" w:ascii="仿宋_GB2312" w:hAnsi="仿宋_GB2312" w:eastAsia="仿宋_GB2312" w:cs="仿宋_GB2312"/>
          <w:sz w:val="32"/>
          <w:szCs w:val="36"/>
          <w:highlight w:val="none"/>
          <w:lang w:eastAsia="zh-CN"/>
        </w:rPr>
        <w:t>语料数据</w:t>
      </w:r>
      <w:r>
        <w:rPr>
          <w:rFonts w:hint="eastAsia" w:ascii="仿宋_GB2312" w:hAnsi="仿宋_GB2312" w:eastAsia="仿宋_GB2312" w:cs="仿宋_GB2312"/>
          <w:sz w:val="32"/>
          <w:szCs w:val="36"/>
          <w:highlight w:val="none"/>
        </w:rPr>
        <w:t>交付凭证</w:t>
      </w:r>
      <w:r>
        <w:rPr>
          <w:rFonts w:hint="default" w:ascii="仿宋_GB2312" w:hAnsi="仿宋_GB2312" w:eastAsia="仿宋_GB2312" w:cs="仿宋_GB2312"/>
          <w:sz w:val="32"/>
          <w:szCs w:val="36"/>
          <w:highlight w:val="none"/>
          <w:lang w:eastAsia="zh-CN"/>
        </w:rPr>
        <w:t>等</w:t>
      </w:r>
      <w:r>
        <w:rPr>
          <w:rFonts w:hint="eastAsia" w:ascii="仿宋_GB2312" w:hAnsi="仿宋_GB2312" w:eastAsia="仿宋_GB2312" w:cs="仿宋_GB2312"/>
          <w:sz w:val="32"/>
          <w:szCs w:val="36"/>
          <w:highlight w:val="none"/>
          <w:lang w:val="en-US" w:eastAsia="zh-CN"/>
        </w:rPr>
        <w:t>其他所需的</w:t>
      </w:r>
      <w:r>
        <w:rPr>
          <w:rFonts w:hint="eastAsia" w:ascii="仿宋_GB2312" w:hAnsi="仿宋_GB2312" w:eastAsia="仿宋_GB2312" w:cs="仿宋_GB2312"/>
          <w:sz w:val="32"/>
          <w:szCs w:val="36"/>
          <w:highlight w:val="none"/>
        </w:rPr>
        <w:t>相关证明材料为</w:t>
      </w:r>
      <w:r>
        <w:rPr>
          <w:rFonts w:hint="eastAsia" w:ascii="仿宋_GB2312" w:hAnsi="仿宋_GB2312" w:eastAsia="仿宋_GB2312" w:cs="仿宋_GB2312"/>
          <w:sz w:val="32"/>
          <w:szCs w:val="36"/>
          <w:highlight w:val="none"/>
          <w:lang w:val="en-US" w:eastAsia="zh-CN"/>
        </w:rPr>
        <w:t>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lang w:val="en-US" w:eastAsia="zh-CN"/>
        </w:rPr>
        <w:t xml:space="preserve">第六条 </w:t>
      </w:r>
      <w:r>
        <w:rPr>
          <w:rFonts w:hint="eastAsia" w:ascii="楷体_GB2312" w:hAnsi="楷体_GB2312" w:eastAsia="楷体_GB2312" w:cs="楷体_GB2312"/>
          <w:color w:val="auto"/>
          <w:sz w:val="32"/>
          <w:szCs w:val="36"/>
          <w:highlight w:val="none"/>
          <w:lang w:val="en-US" w:eastAsia="zh-CN"/>
        </w:rPr>
        <w:t>数据开放共享</w:t>
      </w:r>
      <w:r>
        <w:rPr>
          <w:rFonts w:hint="eastAsia" w:ascii="楷体_GB2312" w:hAnsi="楷体_GB2312" w:eastAsia="楷体_GB2312" w:cs="楷体_GB2312"/>
          <w:b w:val="0"/>
          <w:bCs w:val="0"/>
          <w:sz w:val="32"/>
          <w:szCs w:val="36"/>
          <w:highlight w:val="none"/>
          <w:lang w:val="en-US" w:eastAsia="zh-CN"/>
        </w:rPr>
        <w:t>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b w:val="0"/>
          <w:bCs w:val="0"/>
          <w:sz w:val="32"/>
          <w:szCs w:val="36"/>
          <w:highlight w:val="none"/>
          <w:lang w:val="en-US" w:eastAsia="zh-CN"/>
        </w:rPr>
      </w:pPr>
      <w:r>
        <w:rPr>
          <w:rFonts w:hint="eastAsia" w:ascii="仿宋_GB2312" w:hAnsi="仿宋_GB2312" w:eastAsia="仿宋_GB2312" w:cs="仿宋_GB2312"/>
          <w:sz w:val="32"/>
          <w:szCs w:val="36"/>
          <w:highlight w:val="none"/>
        </w:rPr>
        <w:t>（一）扶持范围：通过政府部门认定的公共数据开放平台开放大模型训练语料（</w:t>
      </w:r>
      <w:r>
        <w:rPr>
          <w:rFonts w:hint="eastAsia" w:ascii="楷体_GB2312" w:hAnsi="楷体_GB2312" w:eastAsia="楷体_GB2312" w:cs="楷体_GB2312"/>
          <w:color w:val="auto"/>
          <w:sz w:val="32"/>
          <w:szCs w:val="36"/>
          <w:highlight w:val="none"/>
          <w:lang w:val="en-US" w:eastAsia="zh-CN"/>
        </w:rPr>
        <w:t>含行业数据集</w:t>
      </w:r>
      <w:r>
        <w:rPr>
          <w:rFonts w:hint="eastAsia" w:ascii="仿宋_GB2312" w:hAnsi="仿宋_GB2312" w:eastAsia="仿宋_GB2312" w:cs="仿宋_GB2312"/>
          <w:sz w:val="32"/>
          <w:szCs w:val="36"/>
          <w:highlight w:val="none"/>
        </w:rPr>
        <w:t>）的企业</w:t>
      </w:r>
      <w:r>
        <w:rPr>
          <w:rFonts w:hint="eastAsia" w:ascii="仿宋_GB2312" w:hAnsi="仿宋_GB2312" w:eastAsia="仿宋_GB2312" w:cs="仿宋_GB2312"/>
          <w:sz w:val="32"/>
          <w:szCs w:val="36"/>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b w:val="0"/>
          <w:bCs w:val="0"/>
          <w:sz w:val="32"/>
          <w:szCs w:val="36"/>
          <w:highlight w:val="none"/>
          <w:lang w:val="en-US" w:eastAsia="zh-CN"/>
        </w:rPr>
      </w:pPr>
      <w:r>
        <w:rPr>
          <w:rFonts w:hint="eastAsia" w:ascii="仿宋_GB2312" w:hAnsi="仿宋_GB2312" w:eastAsia="仿宋_GB2312" w:cs="仿宋_GB2312"/>
          <w:sz w:val="32"/>
          <w:szCs w:val="36"/>
          <w:highlight w:val="none"/>
        </w:rPr>
        <w:t>（二）扶持方式和标准：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rPr>
        <w:t>企业</w:t>
      </w:r>
      <w:r>
        <w:rPr>
          <w:rFonts w:hint="eastAsia" w:ascii="仿宋_GB2312" w:hAnsi="Arial" w:eastAsia="仿宋_GB2312" w:cs="Arial"/>
          <w:color w:val="auto"/>
          <w:sz w:val="32"/>
          <w:szCs w:val="32"/>
          <w:highlight w:val="none"/>
          <w:lang w:eastAsia="zh-CN"/>
        </w:rPr>
        <w:t>开放大模型训练语料（</w:t>
      </w:r>
      <w:r>
        <w:rPr>
          <w:rFonts w:hint="eastAsia" w:ascii="楷体_GB2312" w:hAnsi="楷体_GB2312" w:eastAsia="楷体_GB2312" w:cs="楷体_GB2312"/>
          <w:color w:val="auto"/>
          <w:sz w:val="32"/>
          <w:szCs w:val="36"/>
          <w:highlight w:val="none"/>
          <w:lang w:val="en-US" w:eastAsia="zh-CN"/>
        </w:rPr>
        <w:t>含行业数据集</w:t>
      </w:r>
      <w:r>
        <w:rPr>
          <w:rFonts w:hint="eastAsia" w:ascii="仿宋_GB2312" w:hAnsi="Arial" w:eastAsia="仿宋_GB2312" w:cs="Arial"/>
          <w:color w:val="auto"/>
          <w:sz w:val="32"/>
          <w:szCs w:val="32"/>
          <w:highlight w:val="none"/>
          <w:lang w:eastAsia="zh-CN"/>
        </w:rPr>
        <w:t>）</w:t>
      </w:r>
      <w:r>
        <w:rPr>
          <w:rFonts w:hint="eastAsia" w:ascii="仿宋_GB2312" w:hAnsi="Arial" w:eastAsia="仿宋_GB2312" w:cs="Arial"/>
          <w:color w:val="auto"/>
          <w:sz w:val="32"/>
          <w:szCs w:val="32"/>
          <w:highlight w:val="none"/>
          <w:lang w:val="en-US" w:eastAsia="zh-CN"/>
        </w:rPr>
        <w:t>的</w:t>
      </w:r>
      <w:r>
        <w:rPr>
          <w:rFonts w:hint="eastAsia" w:ascii="仿宋_GB2312" w:hAnsi="仿宋_GB2312" w:eastAsia="仿宋_GB2312" w:cs="仿宋_GB2312"/>
          <w:sz w:val="32"/>
          <w:szCs w:val="36"/>
          <w:highlight w:val="none"/>
        </w:rPr>
        <w:t>时间应在申报指南发布前一周期年度内</w:t>
      </w:r>
      <w:r>
        <w:rPr>
          <w:rFonts w:hint="eastAsia" w:ascii="仿宋_GB2312" w:hAnsi="仿宋_GB2312" w:eastAsia="仿宋_GB2312" w:cs="仿宋_GB2312"/>
          <w:sz w:val="32"/>
          <w:szCs w:val="36"/>
          <w:highlight w:val="none"/>
          <w:lang w:eastAsia="zh-CN"/>
        </w:rPr>
        <w:t>。</w:t>
      </w:r>
      <w:r>
        <w:rPr>
          <w:rFonts w:hint="eastAsia" w:ascii="仿宋_GB2312" w:hAnsi="Arial" w:eastAsia="仿宋_GB2312" w:cs="Arial"/>
          <w:color w:val="auto"/>
          <w:sz w:val="32"/>
          <w:szCs w:val="32"/>
          <w:highlight w:val="none"/>
          <w:lang w:val="en-US" w:eastAsia="zh-CN"/>
        </w:rPr>
        <w:t>根据规模质量、更新频率和应用成效等维度，最高按语料生产费用的20%，给予每家企业每年最高30万元支持</w:t>
      </w:r>
      <w:r>
        <w:rPr>
          <w:rFonts w:hint="eastAsia" w:ascii="仿宋_GB2312" w:hAnsi="Arial" w:eastAsia="仿宋_GB2312" w:cs="Arial"/>
          <w:bCs w:val="0"/>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b w:val="0"/>
          <w:bCs w:val="0"/>
          <w:sz w:val="32"/>
          <w:szCs w:val="36"/>
          <w:highlight w:val="none"/>
          <w:lang w:val="en-US" w:eastAsia="zh-CN"/>
        </w:rPr>
      </w:pP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lang w:val="en-US" w:eastAsia="zh-CN"/>
        </w:rPr>
        <w:t>三</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审核方式：</w:t>
      </w:r>
      <w:r>
        <w:rPr>
          <w:rFonts w:hint="eastAsia" w:ascii="仿宋_GB2312" w:hAnsi="仿宋_GB2312" w:eastAsia="仿宋_GB2312" w:cs="仿宋_GB2312"/>
          <w:sz w:val="32"/>
          <w:szCs w:val="36"/>
          <w:highlight w:val="none"/>
          <w:lang w:eastAsia="zh-CN"/>
        </w:rPr>
        <w:t>评审制</w:t>
      </w:r>
      <w:r>
        <w:rPr>
          <w:rFonts w:hint="eastAsia" w:ascii="仿宋_GB2312" w:hAnsi="仿宋_GB2312" w:eastAsia="仿宋_GB2312" w:cs="仿宋_GB2312"/>
          <w:sz w:val="32"/>
          <w:szCs w:val="36"/>
          <w:highlight w:val="none"/>
        </w:rPr>
        <w:t>。以第三方专业服务机构评审结果</w:t>
      </w:r>
      <w:r>
        <w:rPr>
          <w:rFonts w:hint="eastAsia" w:ascii="仿宋_GB2312" w:hAnsi="仿宋_GB2312" w:eastAsia="仿宋_GB2312" w:cs="仿宋_GB2312"/>
          <w:sz w:val="32"/>
          <w:szCs w:val="36"/>
          <w:highlight w:val="none"/>
          <w:lang w:eastAsia="zh-CN"/>
        </w:rPr>
        <w:t>等相关材料</w:t>
      </w:r>
      <w:r>
        <w:rPr>
          <w:rFonts w:hint="eastAsia" w:ascii="仿宋_GB2312" w:hAnsi="仿宋_GB2312" w:eastAsia="仿宋_GB2312" w:cs="仿宋_GB2312"/>
          <w:sz w:val="32"/>
          <w:szCs w:val="36"/>
          <w:highlight w:val="none"/>
        </w:rPr>
        <w:t>为</w:t>
      </w:r>
      <w:r>
        <w:rPr>
          <w:rFonts w:hint="eastAsia" w:ascii="仿宋_GB2312" w:hAnsi="仿宋_GB2312" w:eastAsia="仿宋_GB2312" w:cs="仿宋_GB2312"/>
          <w:sz w:val="32"/>
          <w:szCs w:val="36"/>
          <w:highlight w:val="none"/>
          <w:lang w:val="en-US" w:eastAsia="zh-CN"/>
        </w:rPr>
        <w:t>参考依据。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lang w:val="en-US" w:eastAsia="zh-CN"/>
        </w:rPr>
        <w:t>第七条 大模型自主开发扶持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rPr>
        <w:t>（一）扶持范围：</w:t>
      </w:r>
      <w:r>
        <w:rPr>
          <w:rFonts w:hint="eastAsia" w:ascii="仿宋_GB2312" w:hAnsi="仿宋_GB2312" w:eastAsia="仿宋_GB2312" w:cs="仿宋_GB2312"/>
          <w:sz w:val="32"/>
          <w:szCs w:val="36"/>
          <w:highlight w:val="none"/>
          <w:lang w:eastAsia="zh-CN"/>
        </w:rPr>
        <w:t>研发</w:t>
      </w:r>
      <w:r>
        <w:rPr>
          <w:rFonts w:hint="eastAsia" w:ascii="仿宋_GB2312" w:hAnsi="仿宋_GB2312" w:eastAsia="仿宋_GB2312" w:cs="仿宋_GB2312"/>
          <w:b w:val="0"/>
          <w:bCs w:val="0"/>
          <w:color w:val="auto"/>
          <w:sz w:val="32"/>
          <w:szCs w:val="32"/>
          <w:highlight w:val="none"/>
          <w:lang w:val="en-US" w:eastAsia="zh-CN"/>
        </w:rPr>
        <w:t>通用及专用</w:t>
      </w:r>
      <w:r>
        <w:rPr>
          <w:rFonts w:hint="eastAsia" w:ascii="仿宋_GB2312" w:hAnsi="仿宋_GB2312" w:eastAsia="仿宋_GB2312" w:cs="仿宋_GB2312"/>
          <w:sz w:val="32"/>
          <w:szCs w:val="36"/>
          <w:highlight w:val="none"/>
        </w:rPr>
        <w:t>大模型</w:t>
      </w:r>
      <w:r>
        <w:rPr>
          <w:rFonts w:hint="eastAsia" w:ascii="仿宋_GB2312" w:hAnsi="仿宋_GB2312" w:eastAsia="仿宋_GB2312" w:cs="仿宋_GB2312"/>
          <w:sz w:val="32"/>
          <w:szCs w:val="36"/>
          <w:highlight w:val="none"/>
          <w:lang w:val="en-US" w:eastAsia="zh-CN"/>
        </w:rPr>
        <w:t>的企业。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eastAsia="zh-CN"/>
        </w:rPr>
      </w:pPr>
      <w:r>
        <w:rPr>
          <w:rFonts w:hint="eastAsia" w:ascii="仿宋_GB2312" w:hAnsi="仿宋_GB2312" w:eastAsia="仿宋_GB2312" w:cs="仿宋_GB2312"/>
          <w:sz w:val="32"/>
          <w:szCs w:val="36"/>
          <w:highlight w:val="none"/>
        </w:rPr>
        <w:t>（二）扶持方式和标准：对上</w:t>
      </w:r>
      <w:r>
        <w:rPr>
          <w:rFonts w:hint="eastAsia" w:ascii="仿宋_GB2312" w:hAnsi="仿宋_GB2312" w:eastAsia="仿宋_GB2312" w:cs="仿宋_GB2312"/>
          <w:sz w:val="32"/>
          <w:szCs w:val="36"/>
          <w:highlight w:val="none"/>
          <w:lang w:eastAsia="zh-CN"/>
        </w:rPr>
        <w:t>一</w:t>
      </w:r>
      <w:r>
        <w:rPr>
          <w:rFonts w:hint="eastAsia" w:ascii="仿宋_GB2312" w:hAnsi="仿宋_GB2312" w:eastAsia="仿宋_GB2312" w:cs="仿宋_GB2312"/>
          <w:sz w:val="32"/>
          <w:szCs w:val="36"/>
          <w:highlight w:val="none"/>
        </w:rPr>
        <w:t>年度</w:t>
      </w:r>
      <w:r>
        <w:rPr>
          <w:rFonts w:hint="eastAsia" w:ascii="仿宋_GB2312" w:hAnsi="仿宋_GB2312" w:eastAsia="仿宋_GB2312" w:cs="仿宋_GB2312"/>
          <w:sz w:val="32"/>
          <w:szCs w:val="36"/>
          <w:highlight w:val="none"/>
          <w:lang w:eastAsia="zh-CN"/>
        </w:rPr>
        <w:t>在</w:t>
      </w:r>
      <w:r>
        <w:rPr>
          <w:rFonts w:hint="eastAsia" w:ascii="仿宋_GB2312" w:hAnsi="仿宋_GB2312" w:eastAsia="仿宋_GB2312" w:cs="仿宋_GB2312"/>
          <w:sz w:val="32"/>
          <w:szCs w:val="36"/>
          <w:highlight w:val="none"/>
        </w:rPr>
        <w:t>国家互联网信息办公室</w:t>
      </w:r>
      <w:r>
        <w:rPr>
          <w:rFonts w:hint="eastAsia" w:ascii="仿宋_GB2312" w:hAnsi="仿宋_GB2312" w:eastAsia="仿宋_GB2312" w:cs="仿宋_GB2312"/>
          <w:sz w:val="32"/>
          <w:szCs w:val="36"/>
          <w:highlight w:val="none"/>
          <w:lang w:eastAsia="zh-CN"/>
        </w:rPr>
        <w:t>完成</w:t>
      </w:r>
      <w:r>
        <w:rPr>
          <w:rFonts w:hint="eastAsia" w:ascii="仿宋_GB2312" w:hAnsi="仿宋_GB2312" w:eastAsia="仿宋_GB2312" w:cs="仿宋_GB2312"/>
          <w:sz w:val="32"/>
          <w:szCs w:val="36"/>
          <w:highlight w:val="none"/>
        </w:rPr>
        <w:t>生成式人工智能服务备案的模型，</w:t>
      </w:r>
      <w:r>
        <w:rPr>
          <w:rFonts w:hint="eastAsia" w:ascii="仿宋_GB2312" w:hAnsi="Arial" w:eastAsia="仿宋_GB2312" w:cs="Arial"/>
          <w:bCs w:val="0"/>
          <w:sz w:val="32"/>
          <w:szCs w:val="32"/>
          <w:highlight w:val="none"/>
          <w:lang w:val="en-US" w:eastAsia="zh-CN"/>
        </w:rPr>
        <w:t>按每个模型50万元给予企业支持，同一企业每年最高不超过2</w:t>
      </w:r>
      <w:r>
        <w:rPr>
          <w:rFonts w:hint="default" w:ascii="仿宋_GB2312" w:hAnsi="Arial" w:eastAsia="仿宋_GB2312" w:cs="Arial"/>
          <w:bCs w:val="0"/>
          <w:sz w:val="32"/>
          <w:szCs w:val="32"/>
          <w:highlight w:val="none"/>
          <w:lang w:val="en-US"/>
        </w:rPr>
        <w:t>00</w:t>
      </w:r>
      <w:r>
        <w:rPr>
          <w:rFonts w:hint="eastAsia" w:ascii="仿宋_GB2312" w:hAnsi="Arial" w:eastAsia="仿宋_GB2312" w:cs="Arial"/>
          <w:bCs w:val="0"/>
          <w:sz w:val="32"/>
          <w:szCs w:val="32"/>
          <w:highlight w:val="none"/>
          <w:shd w:val="clear" w:color="auto" w:fill="auto"/>
        </w:rPr>
        <w:t>万元</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lang w:val="en-US" w:eastAsia="zh-CN"/>
        </w:rPr>
        <w:t>三</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审核方式：核准制。以企业提供的</w:t>
      </w:r>
      <w:r>
        <w:rPr>
          <w:rFonts w:hint="eastAsia" w:ascii="仿宋_GB2312" w:hAnsi="仿宋_GB2312" w:eastAsia="仿宋_GB2312" w:cs="仿宋_GB2312"/>
          <w:sz w:val="32"/>
          <w:szCs w:val="36"/>
          <w:highlight w:val="none"/>
          <w:lang w:eastAsia="zh-CN"/>
        </w:rPr>
        <w:t>备案登记证明等</w:t>
      </w:r>
      <w:r>
        <w:rPr>
          <w:rFonts w:hint="eastAsia" w:ascii="仿宋_GB2312" w:hAnsi="仿宋_GB2312" w:eastAsia="仿宋_GB2312" w:cs="仿宋_GB2312"/>
          <w:sz w:val="32"/>
          <w:szCs w:val="36"/>
          <w:highlight w:val="none"/>
        </w:rPr>
        <w:t>相关材料为准。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lang w:val="en-US" w:eastAsia="zh-CN"/>
        </w:rPr>
        <w:t>第八条 调用模型开发应用扶持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Arial" w:eastAsia="仿宋_GB2312" w:cs="Arial"/>
          <w:color w:val="auto"/>
          <w:sz w:val="32"/>
          <w:szCs w:val="32"/>
          <w:highlight w:val="none"/>
          <w:lang w:val="en-US" w:eastAsia="zh-CN"/>
        </w:rPr>
      </w:pPr>
      <w:r>
        <w:rPr>
          <w:rFonts w:hint="eastAsia" w:ascii="仿宋_GB2312" w:hAnsi="仿宋_GB2312" w:eastAsia="仿宋_GB2312" w:cs="仿宋_GB2312"/>
          <w:sz w:val="32"/>
          <w:szCs w:val="36"/>
          <w:highlight w:val="none"/>
        </w:rPr>
        <w:t>（一）扶持范围：</w:t>
      </w:r>
      <w:r>
        <w:rPr>
          <w:rFonts w:hint="eastAsia" w:ascii="仿宋_GB2312" w:hAnsi="仿宋_GB2312" w:eastAsia="仿宋_GB2312" w:cs="仿宋_GB2312"/>
          <w:sz w:val="32"/>
          <w:szCs w:val="36"/>
          <w:highlight w:val="none"/>
          <w:lang w:eastAsia="zh-CN"/>
        </w:rPr>
        <w:t>支持</w:t>
      </w:r>
      <w:r>
        <w:rPr>
          <w:rFonts w:hint="eastAsia" w:ascii="仿宋_GB2312" w:hAnsi="Arial" w:eastAsia="仿宋_GB2312" w:cs="Arial"/>
          <w:color w:val="auto"/>
          <w:sz w:val="32"/>
          <w:szCs w:val="32"/>
          <w:highlight w:val="none"/>
          <w:lang w:val="en-US" w:eastAsia="zh-CN"/>
        </w:rPr>
        <w:t>软件企业调用非关联方的模型进行应用场景开发，且模型须符合以下任一条件：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Arial" w:eastAsia="仿宋_GB2312" w:cs="Arial"/>
          <w:color w:val="auto"/>
          <w:sz w:val="32"/>
          <w:szCs w:val="32"/>
          <w:highlight w:val="none"/>
          <w:lang w:val="en-US" w:eastAsia="zh-CN"/>
        </w:rPr>
      </w:pPr>
      <w:r>
        <w:rPr>
          <w:rFonts w:hint="eastAsia" w:ascii="仿宋_GB2312" w:hAnsi="Arial" w:eastAsia="仿宋_GB2312" w:cs="Arial"/>
          <w:color w:val="auto"/>
          <w:sz w:val="32"/>
          <w:szCs w:val="32"/>
          <w:highlight w:val="none"/>
          <w:lang w:val="en-US" w:eastAsia="zh-CN"/>
        </w:rPr>
        <w:t>1.模型</w:t>
      </w:r>
      <w:r>
        <w:rPr>
          <w:rFonts w:hint="eastAsia" w:ascii="仿宋_GB2312" w:hAnsi="仿宋_GB2312" w:eastAsia="仿宋_GB2312" w:cs="仿宋_GB2312"/>
          <w:sz w:val="32"/>
          <w:szCs w:val="36"/>
          <w:highlight w:val="none"/>
          <w:lang w:eastAsia="zh-CN"/>
        </w:rPr>
        <w:t>在</w:t>
      </w:r>
      <w:r>
        <w:rPr>
          <w:rFonts w:hint="eastAsia" w:ascii="仿宋_GB2312" w:hAnsi="仿宋_GB2312" w:eastAsia="仿宋_GB2312" w:cs="仿宋_GB2312"/>
          <w:sz w:val="32"/>
          <w:szCs w:val="36"/>
          <w:highlight w:val="none"/>
        </w:rPr>
        <w:t>国家互联网信息办公室</w:t>
      </w:r>
      <w:r>
        <w:rPr>
          <w:rFonts w:hint="eastAsia" w:ascii="仿宋_GB2312" w:hAnsi="仿宋_GB2312" w:eastAsia="仿宋_GB2312" w:cs="仿宋_GB2312"/>
          <w:sz w:val="32"/>
          <w:szCs w:val="36"/>
          <w:highlight w:val="none"/>
          <w:lang w:eastAsia="zh-CN"/>
        </w:rPr>
        <w:t>完成</w:t>
      </w:r>
      <w:r>
        <w:rPr>
          <w:rFonts w:hint="eastAsia" w:ascii="仿宋_GB2312" w:hAnsi="仿宋_GB2312" w:eastAsia="仿宋_GB2312" w:cs="仿宋_GB2312"/>
          <w:sz w:val="32"/>
          <w:szCs w:val="36"/>
          <w:highlight w:val="none"/>
        </w:rPr>
        <w:t>生成式人工智能服务备案</w:t>
      </w:r>
      <w:r>
        <w:rPr>
          <w:rFonts w:hint="eastAsia" w:ascii="仿宋_GB2312" w:hAnsi="仿宋_GB2312" w:eastAsia="仿宋_GB2312" w:cs="仿宋_GB2312"/>
          <w:sz w:val="32"/>
          <w:szCs w:val="36"/>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Arial" w:eastAsia="仿宋_GB2312" w:cs="Arial"/>
          <w:strike w:val="0"/>
          <w:color w:val="auto"/>
          <w:sz w:val="32"/>
          <w:szCs w:val="32"/>
          <w:highlight w:val="none"/>
          <w:lang w:val="en-US" w:eastAsia="zh-CN"/>
        </w:rPr>
        <w:t>2.模型通过第三方机构测评（由</w:t>
      </w:r>
      <w:r>
        <w:rPr>
          <w:rFonts w:hint="eastAsia" w:ascii="楷体_GB2312" w:hAnsi="楷体_GB2312" w:eastAsia="楷体_GB2312" w:cs="楷体_GB2312"/>
          <w:bCs/>
          <w:strike w:val="0"/>
          <w:color w:val="auto"/>
          <w:sz w:val="32"/>
          <w:szCs w:val="32"/>
          <w:highlight w:val="none"/>
          <w:lang w:val="en-US" w:eastAsia="zh-CN"/>
        </w:rPr>
        <w:t>具有网络安全服务认证证书等级保护测评服务认证的机构，对模型进行三级及三级以上的网络安全等级保护测评</w:t>
      </w:r>
      <w:r>
        <w:rPr>
          <w:rFonts w:hint="eastAsia" w:ascii="仿宋_GB2312" w:hAnsi="Arial" w:eastAsia="仿宋_GB2312" w:cs="Arial"/>
          <w:strike w:val="0"/>
          <w:color w:val="auto"/>
          <w:sz w:val="32"/>
          <w:szCs w:val="32"/>
          <w:highlight w:val="none"/>
          <w:lang w:val="en-US" w:eastAsia="zh-CN"/>
        </w:rPr>
        <w:t>）</w:t>
      </w:r>
      <w:r>
        <w:rPr>
          <w:rFonts w:hint="eastAsia" w:ascii="仿宋_GB2312" w:hAnsi="仿宋_GB2312" w:eastAsia="仿宋_GB2312" w:cs="仿宋_GB2312"/>
          <w:sz w:val="32"/>
          <w:szCs w:val="36"/>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（二）扶持方式和标准：</w:t>
      </w:r>
      <w:r>
        <w:rPr>
          <w:rFonts w:hint="eastAsia" w:ascii="仿宋_GB2312" w:hAnsi="Arial" w:eastAsia="仿宋_GB2312" w:cs="Arial"/>
          <w:color w:val="auto"/>
          <w:sz w:val="32"/>
          <w:szCs w:val="32"/>
          <w:highlight w:val="none"/>
        </w:rPr>
        <w:t>对</w:t>
      </w:r>
      <w:r>
        <w:rPr>
          <w:rFonts w:hint="eastAsia" w:ascii="仿宋_GB2312" w:hAnsi="Arial" w:eastAsia="仿宋_GB2312" w:cs="Arial"/>
          <w:bCs w:val="0"/>
          <w:color w:val="auto"/>
          <w:sz w:val="32"/>
          <w:szCs w:val="32"/>
          <w:highlight w:val="none"/>
        </w:rPr>
        <w:t>采购模型服务</w:t>
      </w:r>
      <w:r>
        <w:rPr>
          <w:rFonts w:hint="eastAsia" w:ascii="仿宋_GB2312" w:hAnsi="Arial" w:eastAsia="仿宋_GB2312" w:cs="Arial"/>
          <w:bCs w:val="0"/>
          <w:color w:val="auto"/>
          <w:sz w:val="32"/>
          <w:szCs w:val="32"/>
          <w:highlight w:val="none"/>
          <w:lang w:eastAsia="zh-CN"/>
        </w:rPr>
        <w:t>的企业，</w:t>
      </w:r>
      <w:r>
        <w:rPr>
          <w:rFonts w:hint="eastAsia" w:ascii="仿宋_GB2312" w:hAnsi="Arial" w:eastAsia="仿宋_GB2312" w:cs="Arial"/>
          <w:bCs w:val="0"/>
          <w:color w:val="auto"/>
          <w:sz w:val="32"/>
          <w:szCs w:val="32"/>
          <w:highlight w:val="none"/>
        </w:rPr>
        <w:t>按</w:t>
      </w:r>
      <w:r>
        <w:rPr>
          <w:rFonts w:hint="eastAsia" w:ascii="仿宋_GB2312" w:hAnsi="Arial" w:eastAsia="仿宋_GB2312" w:cs="Arial"/>
          <w:color w:val="auto"/>
          <w:sz w:val="32"/>
          <w:szCs w:val="32"/>
          <w:highlight w:val="none"/>
          <w:lang w:val="en-US" w:eastAsia="zh-CN"/>
        </w:rPr>
        <w:t>申报指南发布前一周期年度内</w:t>
      </w:r>
      <w:r>
        <w:rPr>
          <w:rFonts w:hint="eastAsia" w:ascii="仿宋_GB2312" w:hAnsi="Arial" w:eastAsia="仿宋_GB2312" w:cs="Arial"/>
          <w:bCs w:val="0"/>
          <w:color w:val="auto"/>
          <w:sz w:val="32"/>
          <w:szCs w:val="32"/>
          <w:highlight w:val="none"/>
        </w:rPr>
        <w:t>完成合同金额（</w:t>
      </w:r>
      <w:r>
        <w:rPr>
          <w:rFonts w:hint="eastAsia" w:ascii="楷体_GB2312" w:hAnsi="楷体_GB2312" w:eastAsia="楷体_GB2312" w:cs="楷体_GB2312"/>
          <w:bCs/>
          <w:color w:val="auto"/>
          <w:sz w:val="32"/>
          <w:szCs w:val="32"/>
          <w:highlight w:val="none"/>
        </w:rPr>
        <w:t>含订阅、部署</w:t>
      </w:r>
      <w:r>
        <w:rPr>
          <w:rFonts w:hint="eastAsia" w:ascii="楷体_GB2312" w:hAnsi="楷体_GB2312" w:eastAsia="楷体_GB2312" w:cs="楷体_GB2312"/>
          <w:bCs/>
          <w:color w:val="auto"/>
          <w:sz w:val="32"/>
          <w:szCs w:val="32"/>
          <w:highlight w:val="none"/>
          <w:lang w:eastAsia="zh-CN"/>
        </w:rPr>
        <w:t>、</w:t>
      </w:r>
      <w:r>
        <w:rPr>
          <w:rFonts w:hint="eastAsia" w:ascii="楷体_GB2312" w:hAnsi="楷体_GB2312" w:eastAsia="楷体_GB2312" w:cs="楷体_GB2312"/>
          <w:bCs/>
          <w:color w:val="auto"/>
          <w:sz w:val="32"/>
          <w:szCs w:val="32"/>
          <w:highlight w:val="none"/>
          <w:lang w:val="en-US" w:eastAsia="zh-CN"/>
        </w:rPr>
        <w:t>开发、调优</w:t>
      </w:r>
      <w:r>
        <w:rPr>
          <w:rFonts w:hint="eastAsia" w:ascii="楷体_GB2312" w:hAnsi="楷体_GB2312" w:eastAsia="楷体_GB2312" w:cs="楷体_GB2312"/>
          <w:bCs/>
          <w:color w:val="auto"/>
          <w:sz w:val="32"/>
          <w:szCs w:val="32"/>
          <w:highlight w:val="none"/>
        </w:rPr>
        <w:t>等服务费用</w:t>
      </w:r>
      <w:r>
        <w:rPr>
          <w:rFonts w:hint="eastAsia" w:ascii="仿宋_GB2312" w:hAnsi="Arial" w:eastAsia="仿宋_GB2312" w:cs="Arial"/>
          <w:bCs w:val="0"/>
          <w:color w:val="auto"/>
          <w:sz w:val="32"/>
          <w:szCs w:val="32"/>
          <w:highlight w:val="none"/>
        </w:rPr>
        <w:t>）</w:t>
      </w:r>
      <w:r>
        <w:rPr>
          <w:rFonts w:hint="eastAsia" w:ascii="仿宋_GB2312" w:hAnsi="Arial" w:eastAsia="仿宋_GB2312" w:cs="Arial"/>
          <w:bCs w:val="0"/>
          <w:color w:val="auto"/>
          <w:sz w:val="32"/>
          <w:szCs w:val="32"/>
          <w:highlight w:val="none"/>
          <w:lang w:eastAsia="zh-CN"/>
        </w:rPr>
        <w:t>的</w:t>
      </w:r>
      <w:r>
        <w:rPr>
          <w:rFonts w:hint="eastAsia" w:ascii="仿宋_GB2312" w:hAnsi="Arial" w:eastAsia="仿宋_GB2312" w:cs="Arial"/>
          <w:bCs w:val="0"/>
          <w:color w:val="auto"/>
          <w:sz w:val="32"/>
          <w:szCs w:val="32"/>
          <w:highlight w:val="none"/>
          <w:lang w:val="en-US" w:eastAsia="zh-CN"/>
        </w:rPr>
        <w:t>30%</w:t>
      </w:r>
      <w:r>
        <w:rPr>
          <w:rFonts w:hint="eastAsia" w:ascii="仿宋_GB2312" w:hAnsi="Arial" w:eastAsia="仿宋_GB2312" w:cs="Arial"/>
          <w:bCs w:val="0"/>
          <w:color w:val="auto"/>
          <w:sz w:val="32"/>
          <w:szCs w:val="32"/>
          <w:highlight w:val="none"/>
        </w:rPr>
        <w:t>予以</w:t>
      </w:r>
      <w:r>
        <w:rPr>
          <w:rFonts w:hint="eastAsia" w:ascii="仿宋_GB2312" w:hAnsi="Arial" w:eastAsia="仿宋_GB2312" w:cs="Arial"/>
          <w:bCs w:val="0"/>
          <w:color w:val="auto"/>
          <w:sz w:val="32"/>
          <w:szCs w:val="32"/>
          <w:highlight w:val="none"/>
          <w:lang w:val="en-US" w:eastAsia="zh-CN"/>
        </w:rPr>
        <w:t>支持</w:t>
      </w:r>
      <w:r>
        <w:rPr>
          <w:rFonts w:hint="eastAsia" w:ascii="仿宋_GB2312" w:hAnsi="Arial" w:eastAsia="仿宋_GB2312" w:cs="Arial"/>
          <w:bCs w:val="0"/>
          <w:color w:val="auto"/>
          <w:sz w:val="32"/>
          <w:szCs w:val="32"/>
          <w:highlight w:val="none"/>
        </w:rPr>
        <w:t>，</w:t>
      </w:r>
      <w:r>
        <w:rPr>
          <w:rFonts w:hint="eastAsia" w:ascii="仿宋_GB2312" w:hAnsi="Arial" w:eastAsia="仿宋_GB2312" w:cs="Arial"/>
          <w:color w:val="auto"/>
          <w:sz w:val="32"/>
          <w:szCs w:val="32"/>
          <w:highlight w:val="none"/>
        </w:rPr>
        <w:t>同一</w:t>
      </w:r>
      <w:r>
        <w:rPr>
          <w:rFonts w:hint="eastAsia" w:ascii="仿宋_GB2312" w:hAnsi="Arial" w:eastAsia="仿宋_GB2312" w:cs="Arial"/>
          <w:color w:val="auto"/>
          <w:sz w:val="32"/>
          <w:szCs w:val="32"/>
          <w:highlight w:val="none"/>
          <w:lang w:eastAsia="zh-CN"/>
        </w:rPr>
        <w:t>企业每年</w:t>
      </w:r>
      <w:r>
        <w:rPr>
          <w:rFonts w:hint="eastAsia" w:ascii="仿宋_GB2312" w:hAnsi="Arial" w:eastAsia="仿宋_GB2312" w:cs="Arial"/>
          <w:bCs w:val="0"/>
          <w:color w:val="auto"/>
          <w:sz w:val="32"/>
          <w:szCs w:val="32"/>
          <w:highlight w:val="none"/>
          <w:lang w:val="en-US" w:eastAsia="zh-CN"/>
        </w:rPr>
        <w:t>最高</w:t>
      </w:r>
      <w:r>
        <w:rPr>
          <w:rFonts w:hint="eastAsia" w:ascii="仿宋_GB2312" w:hAnsi="Arial" w:eastAsia="仿宋_GB2312" w:cs="Arial"/>
          <w:bCs w:val="0"/>
          <w:color w:val="auto"/>
          <w:sz w:val="32"/>
          <w:szCs w:val="32"/>
          <w:highlight w:val="none"/>
        </w:rPr>
        <w:t>不超过</w:t>
      </w:r>
      <w:r>
        <w:rPr>
          <w:rFonts w:hint="default" w:ascii="仿宋_GB2312" w:hAnsi="Arial" w:eastAsia="仿宋_GB2312" w:cs="Arial"/>
          <w:bCs w:val="0"/>
          <w:color w:val="auto"/>
          <w:sz w:val="32"/>
          <w:szCs w:val="32"/>
          <w:highlight w:val="none"/>
          <w:lang w:val="en-US" w:eastAsia="zh-CN"/>
        </w:rPr>
        <w:t>2</w:t>
      </w:r>
      <w:r>
        <w:rPr>
          <w:rFonts w:hint="default" w:ascii="仿宋_GB2312" w:hAnsi="Arial" w:eastAsia="仿宋_GB2312" w:cs="Arial"/>
          <w:bCs w:val="0"/>
          <w:color w:val="auto"/>
          <w:sz w:val="32"/>
          <w:szCs w:val="32"/>
          <w:highlight w:val="none"/>
          <w:lang w:val="en-US"/>
        </w:rPr>
        <w:t>0</w:t>
      </w:r>
      <w:r>
        <w:rPr>
          <w:rFonts w:hint="eastAsia" w:ascii="仿宋_GB2312" w:hAnsi="Arial" w:eastAsia="仿宋_GB2312" w:cs="Arial"/>
          <w:bCs w:val="0"/>
          <w:color w:val="auto"/>
          <w:sz w:val="32"/>
          <w:szCs w:val="32"/>
          <w:highlight w:val="none"/>
        </w:rPr>
        <w:t>0万元</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lang w:eastAsia="zh-CN"/>
        </w:rPr>
        <w:t>（三）</w:t>
      </w:r>
      <w:r>
        <w:rPr>
          <w:rFonts w:hint="eastAsia" w:ascii="仿宋_GB2312" w:hAnsi="仿宋_GB2312" w:eastAsia="仿宋_GB2312" w:cs="仿宋_GB2312"/>
          <w:sz w:val="32"/>
          <w:szCs w:val="36"/>
          <w:highlight w:val="none"/>
        </w:rPr>
        <w:t>审核方式：核准制。以企业提供的</w:t>
      </w:r>
      <w:r>
        <w:rPr>
          <w:rFonts w:hint="default" w:ascii="仿宋_GB2312" w:hAnsi="仿宋_GB2312" w:eastAsia="仿宋_GB2312" w:cs="仿宋_GB2312"/>
          <w:sz w:val="32"/>
          <w:szCs w:val="36"/>
          <w:highlight w:val="none"/>
        </w:rPr>
        <w:t>签订合同、支付凭证</w:t>
      </w:r>
      <w:r>
        <w:rPr>
          <w:rFonts w:hint="eastAsia" w:ascii="仿宋_GB2312" w:hAnsi="仿宋_GB2312" w:eastAsia="仿宋_GB2312" w:cs="仿宋_GB2312"/>
          <w:sz w:val="32"/>
          <w:szCs w:val="36"/>
          <w:highlight w:val="none"/>
          <w:lang w:eastAsia="zh-CN"/>
        </w:rPr>
        <w:t>、备案登记证明</w:t>
      </w:r>
      <w:r>
        <w:rPr>
          <w:rFonts w:hint="eastAsia" w:ascii="仿宋_GB2312" w:hAnsi="仿宋_GB2312" w:eastAsia="仿宋_GB2312" w:cs="仿宋_GB2312"/>
          <w:sz w:val="32"/>
          <w:szCs w:val="36"/>
          <w:highlight w:val="none"/>
          <w:lang w:val="en-US" w:eastAsia="zh-CN"/>
        </w:rPr>
        <w:t>或测评证明</w:t>
      </w:r>
      <w:r>
        <w:rPr>
          <w:rFonts w:hint="default" w:ascii="仿宋_GB2312" w:hAnsi="仿宋_GB2312" w:eastAsia="仿宋_GB2312" w:cs="仿宋_GB2312"/>
          <w:sz w:val="32"/>
          <w:szCs w:val="36"/>
          <w:highlight w:val="none"/>
        </w:rPr>
        <w:t>等</w:t>
      </w:r>
      <w:r>
        <w:rPr>
          <w:rFonts w:hint="eastAsia" w:ascii="仿宋_GB2312" w:hAnsi="仿宋_GB2312" w:eastAsia="仿宋_GB2312" w:cs="仿宋_GB2312"/>
          <w:sz w:val="32"/>
          <w:szCs w:val="36"/>
          <w:highlight w:val="none"/>
        </w:rPr>
        <w:t>相关材料为准。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lang w:val="en-US" w:eastAsia="zh-CN"/>
        </w:rPr>
        <w:t>第九条 具身智能机器人应用扶持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rPr>
        <w:t>（一）扶持范围：</w:t>
      </w:r>
      <w:r>
        <w:rPr>
          <w:rFonts w:hint="eastAsia" w:ascii="仿宋_GB2312" w:hAnsi="仿宋_GB2312" w:eastAsia="仿宋_GB2312" w:cs="仿宋_GB2312"/>
          <w:sz w:val="32"/>
          <w:szCs w:val="36"/>
          <w:highlight w:val="none"/>
          <w:lang w:eastAsia="zh-CN"/>
        </w:rPr>
        <w:t>支持企业研发生产</w:t>
      </w:r>
      <w:r>
        <w:rPr>
          <w:rFonts w:hint="eastAsia" w:ascii="仿宋_GB2312" w:hAnsi="仿宋_GB2312" w:eastAsia="仿宋_GB2312" w:cs="仿宋_GB2312"/>
          <w:sz w:val="32"/>
          <w:szCs w:val="36"/>
          <w:highlight w:val="none"/>
          <w:lang w:val="en-US" w:eastAsia="zh-CN"/>
        </w:rPr>
        <w:t>具身智能机器人产品。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（二）扶持方式和标准：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eastAsia="仿宋_GB2312" w:cs="仿宋_GB2312"/>
          <w:b w:val="0"/>
          <w:bCs w:val="0"/>
          <w:color w:val="auto"/>
          <w:sz w:val="32"/>
          <w:szCs w:val="32"/>
          <w:highlight w:val="none"/>
          <w:lang w:val="en-US" w:eastAsia="zh-CN"/>
        </w:rPr>
      </w:pPr>
      <w:r>
        <w:rPr>
          <w:rFonts w:hint="eastAsia" w:ascii="仿宋_GB2312" w:hAnsi="仿宋_GB2312" w:eastAsia="仿宋_GB2312" w:cs="仿宋_GB2312"/>
          <w:sz w:val="32"/>
          <w:szCs w:val="36"/>
          <w:highlight w:val="none"/>
          <w:lang w:val="en-US" w:eastAsia="zh-CN"/>
        </w:rPr>
        <w:t>1.</w:t>
      </w:r>
      <w:r>
        <w:rPr>
          <w:rFonts w:hint="eastAsia" w:ascii="仿宋_GB2312" w:hAnsi="仿宋_GB2312" w:eastAsia="仿宋_GB2312" w:cs="仿宋_GB2312"/>
          <w:b w:val="0"/>
          <w:bCs w:val="0"/>
          <w:color w:val="auto"/>
          <w:sz w:val="32"/>
          <w:szCs w:val="32"/>
          <w:highlight w:val="none"/>
          <w:lang w:val="en-US" w:eastAsia="zh-CN"/>
        </w:rPr>
        <w:t>对</w:t>
      </w:r>
      <w:r>
        <w:rPr>
          <w:rFonts w:hint="eastAsia" w:ascii="仿宋_GB2312" w:hAnsi="仿宋_GB2312" w:eastAsia="仿宋_GB2312" w:cs="仿宋_GB2312"/>
          <w:b w:val="0"/>
          <w:bCs w:val="0"/>
          <w:strike w:val="0"/>
          <w:color w:val="auto"/>
          <w:sz w:val="32"/>
          <w:szCs w:val="32"/>
          <w:highlight w:val="none"/>
          <w:lang w:val="en-US" w:eastAsia="zh-CN"/>
        </w:rPr>
        <w:t>处于</w:t>
      </w:r>
      <w:r>
        <w:rPr>
          <w:rFonts w:hint="eastAsia" w:ascii="仿宋_GB2312" w:hAnsi="仿宋_GB2312" w:eastAsia="仿宋_GB2312" w:cs="仿宋_GB2312"/>
          <w:b w:val="0"/>
          <w:bCs w:val="0"/>
          <w:color w:val="auto"/>
          <w:sz w:val="32"/>
          <w:szCs w:val="32"/>
          <w:highlight w:val="none"/>
          <w:lang w:val="en-US" w:eastAsia="zh-CN"/>
        </w:rPr>
        <w:t>工程化样机阶段、并且在国内首次实现试用的具身智能机器人产品，按该次试用产品的研发投入的5%给予企业</w:t>
      </w:r>
      <w:r>
        <w:rPr>
          <w:rFonts w:hint="eastAsia" w:eastAsia="仿宋_GB2312" w:cs="仿宋_GB2312"/>
          <w:b w:val="0"/>
          <w:bCs w:val="0"/>
          <w:color w:val="auto"/>
          <w:sz w:val="32"/>
          <w:szCs w:val="32"/>
          <w:highlight w:val="none"/>
          <w:lang w:val="en-US" w:eastAsia="zh-CN"/>
        </w:rPr>
        <w:t>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6"/>
          <w:highlight w:val="none"/>
          <w:lang w:val="en-US" w:eastAsia="zh-CN"/>
        </w:rPr>
        <w:t>2.</w:t>
      </w:r>
      <w:r>
        <w:rPr>
          <w:rFonts w:hint="eastAsia" w:ascii="仿宋_GB2312" w:hAnsi="仿宋_GB2312" w:eastAsia="仿宋_GB2312" w:cs="仿宋_GB2312"/>
          <w:b w:val="0"/>
          <w:bCs w:val="0"/>
          <w:color w:val="auto"/>
          <w:sz w:val="32"/>
          <w:szCs w:val="32"/>
          <w:highlight w:val="none"/>
          <w:lang w:val="en-US" w:eastAsia="zh-CN"/>
        </w:rPr>
        <w:t>对在国内首次实现销售的具身智能机器人产品，按该次销售产品的制备成本（</w:t>
      </w:r>
      <w:r>
        <w:rPr>
          <w:rFonts w:hint="eastAsia" w:ascii="楷体_GB2312" w:hAnsi="楷体_GB2312" w:eastAsia="楷体_GB2312" w:cs="楷体_GB2312"/>
          <w:b w:val="0"/>
          <w:bCs w:val="0"/>
          <w:color w:val="auto"/>
          <w:sz w:val="32"/>
          <w:szCs w:val="36"/>
          <w:highlight w:val="none"/>
          <w:lang w:val="en-US" w:eastAsia="zh-CN"/>
        </w:rPr>
        <w:t>包括原材料、加工制造等直接成本，不包括研发成本</w:t>
      </w:r>
      <w:r>
        <w:rPr>
          <w:rFonts w:hint="eastAsia" w:ascii="仿宋_GB2312" w:hAnsi="仿宋_GB2312" w:eastAsia="仿宋_GB2312" w:cs="仿宋_GB2312"/>
          <w:b w:val="0"/>
          <w:bCs w:val="0"/>
          <w:color w:val="auto"/>
          <w:sz w:val="32"/>
          <w:szCs w:val="32"/>
          <w:highlight w:val="none"/>
          <w:lang w:val="en-US" w:eastAsia="zh-CN"/>
        </w:rPr>
        <w:t>）总额</w:t>
      </w:r>
      <w:r>
        <w:rPr>
          <w:rFonts w:hint="eastAsia" w:eastAsia="仿宋_GB2312" w:cs="仿宋_GB2312"/>
          <w:b w:val="0"/>
          <w:bCs w:val="0"/>
          <w:color w:val="auto"/>
          <w:sz w:val="32"/>
          <w:szCs w:val="32"/>
          <w:highlight w:val="none"/>
          <w:lang w:val="en-US" w:eastAsia="zh-CN"/>
        </w:rPr>
        <w:t>的</w:t>
      </w:r>
      <w:r>
        <w:rPr>
          <w:rFonts w:hint="eastAsia" w:ascii="仿宋_GB2312" w:hAnsi="仿宋_GB2312" w:eastAsia="仿宋_GB2312" w:cs="仿宋_GB2312"/>
          <w:b w:val="0"/>
          <w:bCs w:val="0"/>
          <w:color w:val="auto"/>
          <w:sz w:val="32"/>
          <w:szCs w:val="32"/>
          <w:highlight w:val="none"/>
          <w:lang w:val="en-US" w:eastAsia="zh-CN"/>
        </w:rPr>
        <w:t>50%给予企业支持，每家企业每年不超过</w:t>
      </w:r>
      <w:r>
        <w:rPr>
          <w:rFonts w:hint="default"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val="en-US" w:eastAsia="zh-CN"/>
        </w:rPr>
        <w:t>0万元</w:t>
      </w:r>
      <w:r>
        <w:rPr>
          <w:rFonts w:hint="eastAsia" w:eastAsia="仿宋_GB2312" w:cs="仿宋_GB2312"/>
          <w:b w:val="0"/>
          <w:bCs w:val="0"/>
          <w:color w:val="auto"/>
          <w:sz w:val="32"/>
          <w:szCs w:val="32"/>
          <w:highlight w:val="none"/>
          <w:lang w:val="en-US" w:eastAsia="zh-CN"/>
        </w:rPr>
        <w:t>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对以上两种扶持方式，</w:t>
      </w:r>
      <w:r>
        <w:rPr>
          <w:rFonts w:hint="eastAsia" w:ascii="仿宋_GB2312" w:hAnsi="仿宋_GB2312" w:eastAsia="仿宋_GB2312" w:cs="仿宋_GB2312"/>
          <w:b w:val="0"/>
          <w:bCs w:val="0"/>
          <w:color w:val="auto"/>
          <w:sz w:val="32"/>
          <w:szCs w:val="32"/>
          <w:highlight w:val="none"/>
          <w:lang w:val="en-US" w:eastAsia="zh-CN"/>
        </w:rPr>
        <w:t>同一企业每年合计最高不超过</w:t>
      </w:r>
      <w:r>
        <w:rPr>
          <w:rFonts w:hint="default" w:ascii="仿宋_GB2312" w:hAnsi="仿宋_GB2312" w:eastAsia="仿宋_GB2312" w:cs="仿宋_GB2312"/>
          <w:b w:val="0"/>
          <w:bCs w:val="0"/>
          <w:color w:val="auto"/>
          <w:sz w:val="32"/>
          <w:szCs w:val="32"/>
          <w:highlight w:val="none"/>
          <w:lang w:val="en-US" w:eastAsia="zh-CN"/>
        </w:rPr>
        <w:t>20</w:t>
      </w:r>
      <w:r>
        <w:rPr>
          <w:rFonts w:hint="eastAsia" w:ascii="仿宋_GB2312" w:hAnsi="仿宋_GB2312" w:eastAsia="仿宋_GB2312" w:cs="仿宋_GB2312"/>
          <w:b w:val="0"/>
          <w:bCs w:val="0"/>
          <w:color w:val="auto"/>
          <w:sz w:val="32"/>
          <w:szCs w:val="32"/>
          <w:highlight w:val="none"/>
          <w:lang w:val="en-US" w:eastAsia="zh-CN"/>
        </w:rPr>
        <w:t>0万元支持</w:t>
      </w:r>
      <w:r>
        <w:rPr>
          <w:rFonts w:hint="eastAsia" w:ascii="仿宋_GB2312" w:hAnsi="仿宋_GB2312" w:eastAsia="仿宋_GB2312" w:cs="仿宋_GB2312"/>
          <w:bCs/>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4.</w:t>
      </w:r>
      <w:r>
        <w:rPr>
          <w:rFonts w:hint="eastAsia" w:ascii="仿宋_GB2312" w:hAnsi="仿宋_GB2312" w:eastAsia="仿宋_GB2312" w:cs="仿宋_GB2312"/>
          <w:sz w:val="32"/>
          <w:szCs w:val="36"/>
          <w:highlight w:val="none"/>
          <w:lang w:val="en-US" w:eastAsia="zh-CN"/>
        </w:rPr>
        <w:t>具身智能机器人产品须具有自主知识产权、在龙岗区内完成设计或生产，并且须在</w:t>
      </w:r>
      <w:r>
        <w:rPr>
          <w:rFonts w:hint="eastAsia" w:ascii="仿宋_GB2312" w:hAnsi="仿宋_GB2312" w:eastAsia="仿宋_GB2312" w:cs="仿宋_GB2312"/>
          <w:sz w:val="32"/>
          <w:szCs w:val="36"/>
          <w:highlight w:val="none"/>
        </w:rPr>
        <w:t>申报指南发布前一周期年度内</w:t>
      </w:r>
      <w:r>
        <w:rPr>
          <w:rFonts w:hint="eastAsia" w:ascii="仿宋_GB2312" w:hAnsi="仿宋_GB2312" w:eastAsia="仿宋_GB2312" w:cs="仿宋_GB2312"/>
          <w:sz w:val="32"/>
          <w:szCs w:val="36"/>
          <w:highlight w:val="none"/>
          <w:lang w:val="en-US" w:eastAsia="zh-CN"/>
        </w:rPr>
        <w:t>首次实现</w:t>
      </w:r>
      <w:r>
        <w:rPr>
          <w:rFonts w:hint="eastAsia" w:ascii="仿宋_GB2312" w:hAnsi="仿宋_GB2312" w:eastAsia="仿宋_GB2312" w:cs="仿宋_GB2312"/>
          <w:b w:val="0"/>
          <w:bCs w:val="0"/>
          <w:color w:val="auto"/>
          <w:sz w:val="32"/>
          <w:szCs w:val="36"/>
          <w:highlight w:val="none"/>
          <w:lang w:val="en-US" w:eastAsia="zh-CN"/>
        </w:rPr>
        <w:t>试用或</w:t>
      </w:r>
      <w:r>
        <w:rPr>
          <w:rFonts w:hint="eastAsia" w:ascii="仿宋_GB2312" w:hAnsi="仿宋_GB2312" w:eastAsia="仿宋_GB2312" w:cs="仿宋_GB2312"/>
          <w:b w:val="0"/>
          <w:bCs w:val="0"/>
          <w:color w:val="auto"/>
          <w:sz w:val="32"/>
          <w:szCs w:val="32"/>
          <w:highlight w:val="none"/>
          <w:lang w:val="en-US" w:eastAsia="zh-CN"/>
        </w:rPr>
        <w:t>首次实现销售</w:t>
      </w:r>
      <w:r>
        <w:rPr>
          <w:rFonts w:hint="eastAsia" w:ascii="仿宋_GB2312" w:hAnsi="仿宋_GB2312" w:eastAsia="仿宋_GB2312" w:cs="仿宋_GB2312"/>
          <w:sz w:val="32"/>
          <w:szCs w:val="36"/>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lang w:val="en-US" w:eastAsia="zh-CN"/>
        </w:rPr>
        <w:t>三</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审核方式：</w:t>
      </w:r>
      <w:r>
        <w:rPr>
          <w:rFonts w:hint="eastAsia" w:ascii="仿宋_GB2312" w:hAnsi="仿宋_GB2312" w:eastAsia="仿宋_GB2312" w:cs="仿宋_GB2312"/>
          <w:sz w:val="32"/>
          <w:szCs w:val="36"/>
          <w:highlight w:val="none"/>
          <w:lang w:eastAsia="zh-CN"/>
        </w:rPr>
        <w:t>核准制</w:t>
      </w:r>
      <w:r>
        <w:rPr>
          <w:rFonts w:hint="eastAsia" w:ascii="仿宋_GB2312" w:hAnsi="仿宋_GB2312" w:eastAsia="仿宋_GB2312" w:cs="仿宋_GB2312"/>
          <w:sz w:val="32"/>
          <w:szCs w:val="36"/>
          <w:highlight w:val="none"/>
        </w:rPr>
        <w:t>。以研发费用加计扣除鉴证报告、制备成本专项审计报告、支付凭证、发票、合同等相关证明材料为准。</w:t>
      </w:r>
    </w:p>
    <w:p>
      <w:pPr>
        <w:keepNext w:val="0"/>
        <w:keepLines w:val="0"/>
        <w:pageBreakBefore w:val="0"/>
        <w:kinsoku/>
        <w:wordWrap/>
        <w:overflowPunct/>
        <w:topLinePunct w:val="0"/>
        <w:bidi w:val="0"/>
        <w:spacing w:line="540" w:lineRule="exact"/>
        <w:ind w:firstLine="640" w:firstLineChars="200"/>
        <w:jc w:val="left"/>
        <w:textAlignment w:val="auto"/>
        <w:rPr>
          <w:rFonts w:hint="eastAsia" w:ascii="仿宋_GB2312" w:hAnsi="仿宋_GB2312" w:eastAsia="仿宋_GB2312" w:cs="仿宋_GB2312"/>
          <w:b w:val="0"/>
          <w:bCs w:val="0"/>
          <w:sz w:val="32"/>
          <w:szCs w:val="36"/>
          <w:highlight w:val="none"/>
          <w:lang w:val="en-US" w:eastAsia="zh-CN"/>
        </w:rPr>
      </w:pPr>
      <w:r>
        <w:rPr>
          <w:rFonts w:hint="eastAsia" w:ascii="仿宋_GB2312" w:hAnsi="仿宋_GB2312" w:eastAsia="仿宋_GB2312" w:cs="仿宋_GB2312"/>
          <w:sz w:val="32"/>
          <w:szCs w:val="36"/>
          <w:highlight w:val="none"/>
          <w:lang w:eastAsia="zh-CN"/>
        </w:rPr>
        <w:t>注：同一事项，适用于第</w:t>
      </w:r>
      <w:r>
        <w:rPr>
          <w:rFonts w:hint="eastAsia" w:ascii="仿宋_GB2312" w:hAnsi="仿宋_GB2312" w:eastAsia="仿宋_GB2312" w:cs="仿宋_GB2312"/>
          <w:sz w:val="32"/>
          <w:szCs w:val="36"/>
          <w:highlight w:val="none"/>
          <w:lang w:val="en-US" w:eastAsia="zh-CN"/>
        </w:rPr>
        <w:t>九</w:t>
      </w:r>
      <w:r>
        <w:rPr>
          <w:rFonts w:hint="eastAsia" w:ascii="仿宋_GB2312" w:hAnsi="仿宋_GB2312" w:eastAsia="仿宋_GB2312" w:cs="仿宋_GB2312"/>
          <w:sz w:val="32"/>
          <w:szCs w:val="36"/>
          <w:highlight w:val="none"/>
          <w:lang w:eastAsia="zh-CN"/>
        </w:rPr>
        <w:t>条，同时又适用于龙岗区其它扶持政策时，申报单位可按照就高不就低的原则自主选择申报，不予重复扶持。</w:t>
      </w:r>
    </w:p>
    <w:p>
      <w:pPr>
        <w:pStyle w:val="6"/>
        <w:keepNext w:val="0"/>
        <w:keepLines w:val="0"/>
        <w:pageBreakBefore w:val="0"/>
        <w:kinsoku/>
        <w:wordWrap/>
        <w:overflowPunct/>
        <w:topLinePunct w:val="0"/>
        <w:bidi w:val="0"/>
        <w:spacing w:line="540" w:lineRule="exact"/>
        <w:ind w:firstLine="640" w:firstLineChars="200"/>
        <w:jc w:val="left"/>
        <w:textAlignment w:val="auto"/>
        <w:rPr>
          <w:rFonts w:hint="eastAsia" w:ascii="楷体_GB2312" w:hAnsi="楷体_GB2312" w:eastAsia="楷体_GB2312" w:cs="楷体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lang w:val="en-US" w:eastAsia="zh-CN"/>
        </w:rPr>
        <w:t>第十条 智能产品创新发展扶持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lang w:val="en-US" w:eastAsia="zh-CN"/>
        </w:rPr>
        <w:t>一</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扶持范围：</w:t>
      </w:r>
      <w:r>
        <w:rPr>
          <w:rFonts w:hint="eastAsia" w:ascii="仿宋_GB2312" w:hAnsi="仿宋_GB2312" w:eastAsia="仿宋_GB2312" w:cs="仿宋_GB2312"/>
          <w:sz w:val="32"/>
          <w:szCs w:val="36"/>
          <w:highlight w:val="none"/>
          <w:lang w:eastAsia="zh-CN"/>
        </w:rPr>
        <w:t>支持</w:t>
      </w:r>
      <w:r>
        <w:rPr>
          <w:rFonts w:hint="eastAsia" w:ascii="仿宋_GB2312" w:hAnsi="仿宋_GB2312" w:eastAsia="仿宋_GB2312" w:cs="仿宋_GB2312"/>
          <w:sz w:val="32"/>
          <w:szCs w:val="36"/>
          <w:highlight w:val="none"/>
          <w:lang w:val="en-US" w:eastAsia="zh-CN"/>
        </w:rPr>
        <w:t>电子消费产品企业以及优势传统产业企业</w:t>
      </w:r>
      <w:r>
        <w:rPr>
          <w:rFonts w:hint="eastAsia" w:ascii="仿宋_GB2312" w:hAnsi="仿宋_GB2312" w:eastAsia="仿宋_GB2312" w:cs="仿宋_GB2312"/>
          <w:sz w:val="32"/>
          <w:szCs w:val="36"/>
          <w:highlight w:val="none"/>
          <w:lang w:eastAsia="zh-CN"/>
        </w:rPr>
        <w:t>研发</w:t>
      </w:r>
      <w:r>
        <w:rPr>
          <w:rFonts w:hint="eastAsia" w:ascii="仿宋_GB2312" w:hAnsi="仿宋_GB2312" w:eastAsia="仿宋_GB2312" w:cs="仿宋_GB2312"/>
          <w:sz w:val="32"/>
          <w:szCs w:val="36"/>
          <w:highlight w:val="none"/>
          <w:lang w:val="en-US" w:eastAsia="zh-CN"/>
        </w:rPr>
        <w:t>生产AI电脑、AI手机、智能可穿戴产品、智能家具、智能玩具等应用人工智能技术的智能硬件产品（</w:t>
      </w:r>
      <w:r>
        <w:rPr>
          <w:rFonts w:hint="eastAsia" w:ascii="楷体_GB2312" w:hAnsi="楷体_GB2312" w:eastAsia="楷体_GB2312" w:cs="楷体_GB2312"/>
          <w:color w:val="auto"/>
          <w:sz w:val="32"/>
          <w:szCs w:val="36"/>
          <w:highlight w:val="none"/>
          <w:lang w:val="en-US" w:eastAsia="zh-CN"/>
        </w:rPr>
        <w:t>不包括具身智能机器人产品</w:t>
      </w:r>
      <w:r>
        <w:rPr>
          <w:rFonts w:hint="eastAsia" w:ascii="仿宋_GB2312" w:hAnsi="仿宋_GB2312" w:eastAsia="仿宋_GB2312" w:cs="仿宋_GB2312"/>
          <w:sz w:val="32"/>
          <w:szCs w:val="36"/>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lang w:val="en-US" w:eastAsia="zh-CN"/>
        </w:rPr>
        <w:t>二</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扶持方式和标准：</w:t>
      </w:r>
      <w:r>
        <w:rPr>
          <w:rFonts w:hint="eastAsia" w:ascii="仿宋_GB2312" w:hAnsi="仿宋_GB2312" w:eastAsia="仿宋_GB2312" w:cs="仿宋_GB2312"/>
          <w:sz w:val="32"/>
          <w:szCs w:val="36"/>
          <w:highlight w:val="none"/>
          <w:lang w:val="en-US" w:eastAsia="zh-CN"/>
        </w:rPr>
        <w:t>对于</w:t>
      </w:r>
      <w:r>
        <w:rPr>
          <w:rFonts w:hint="eastAsia" w:ascii="仿宋_GB2312" w:hAnsi="仿宋_GB2312" w:eastAsia="仿宋_GB2312" w:cs="仿宋_GB2312"/>
          <w:sz w:val="32"/>
          <w:szCs w:val="36"/>
          <w:highlight w:val="none"/>
          <w:lang w:eastAsia="zh-CN"/>
        </w:rPr>
        <w:t>相关</w:t>
      </w:r>
      <w:r>
        <w:rPr>
          <w:rFonts w:hint="eastAsia" w:ascii="仿宋_GB2312" w:hAnsi="仿宋_GB2312" w:eastAsia="仿宋_GB2312" w:cs="仿宋_GB2312"/>
          <w:sz w:val="32"/>
          <w:szCs w:val="36"/>
          <w:highlight w:val="none"/>
          <w:lang w:val="en-US" w:eastAsia="zh-CN"/>
        </w:rPr>
        <w:t>智能硬件</w:t>
      </w:r>
      <w:r>
        <w:rPr>
          <w:rFonts w:hint="eastAsia" w:ascii="仿宋_GB2312" w:hAnsi="仿宋_GB2312" w:eastAsia="仿宋_GB2312" w:cs="仿宋_GB2312"/>
          <w:sz w:val="32"/>
          <w:szCs w:val="36"/>
          <w:highlight w:val="none"/>
          <w:lang w:eastAsia="zh-CN"/>
        </w:rPr>
        <w:t>产品</w:t>
      </w:r>
      <w:r>
        <w:rPr>
          <w:rFonts w:hint="eastAsia" w:ascii="仿宋_GB2312" w:hAnsi="仿宋_GB2312" w:eastAsia="仿宋_GB2312" w:cs="仿宋_GB2312"/>
          <w:sz w:val="32"/>
          <w:szCs w:val="36"/>
          <w:highlight w:val="none"/>
          <w:lang w:val="en-US" w:eastAsia="zh-CN"/>
        </w:rPr>
        <w:t>中</w:t>
      </w:r>
      <w:r>
        <w:rPr>
          <w:rFonts w:hint="eastAsia" w:ascii="仿宋_GB2312" w:hAnsi="仿宋_GB2312" w:eastAsia="仿宋_GB2312" w:cs="仿宋_GB2312"/>
          <w:sz w:val="32"/>
          <w:szCs w:val="36"/>
          <w:highlight w:val="none"/>
          <w:lang w:eastAsia="zh-CN"/>
        </w:rPr>
        <w:t>涉及</w:t>
      </w:r>
      <w:r>
        <w:rPr>
          <w:rFonts w:hint="eastAsia" w:ascii="仿宋_GB2312" w:hAnsi="仿宋_GB2312" w:eastAsia="仿宋_GB2312" w:cs="仿宋_GB2312"/>
          <w:sz w:val="32"/>
          <w:szCs w:val="36"/>
          <w:highlight w:val="none"/>
          <w:lang w:val="en-US" w:eastAsia="zh-CN"/>
        </w:rPr>
        <w:t>的</w:t>
      </w:r>
      <w:r>
        <w:rPr>
          <w:rFonts w:hint="eastAsia" w:ascii="仿宋_GB2312" w:hAnsi="仿宋_GB2312" w:eastAsia="仿宋_GB2312" w:cs="仿宋_GB2312"/>
          <w:sz w:val="32"/>
          <w:szCs w:val="36"/>
          <w:highlight w:val="none"/>
          <w:lang w:eastAsia="zh-CN"/>
        </w:rPr>
        <w:t>人工智能产品部分，上一年度研发投入在</w:t>
      </w:r>
      <w:r>
        <w:rPr>
          <w:rFonts w:hint="eastAsia" w:ascii="仿宋_GB2312" w:hAnsi="仿宋_GB2312" w:eastAsia="仿宋_GB2312" w:cs="仿宋_GB2312"/>
          <w:sz w:val="32"/>
          <w:szCs w:val="36"/>
          <w:highlight w:val="none"/>
          <w:lang w:val="en-US" w:eastAsia="zh-CN"/>
        </w:rPr>
        <w:t>20万元（含）以上的，按上一年度</w:t>
      </w:r>
      <w:r>
        <w:rPr>
          <w:rFonts w:hint="eastAsia" w:ascii="仿宋_GB2312" w:hAnsi="仿宋_GB2312" w:eastAsia="仿宋_GB2312" w:cs="仿宋_GB2312"/>
          <w:sz w:val="32"/>
          <w:szCs w:val="36"/>
          <w:highlight w:val="none"/>
          <w:lang w:eastAsia="zh-CN"/>
        </w:rPr>
        <w:t>研发投入的</w:t>
      </w:r>
      <w:r>
        <w:rPr>
          <w:rFonts w:hint="eastAsia" w:ascii="仿宋_GB2312" w:hAnsi="仿宋_GB2312" w:eastAsia="仿宋_GB2312" w:cs="仿宋_GB2312"/>
          <w:sz w:val="32"/>
          <w:szCs w:val="36"/>
          <w:highlight w:val="none"/>
          <w:lang w:val="en-US" w:eastAsia="zh-CN"/>
        </w:rPr>
        <w:t>30%给予支持，同一企业每年最高不超过30万元。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lang w:val="en-US" w:eastAsia="zh-CN"/>
        </w:rPr>
        <w:t>三</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审核方式：核准制。以研发费用加计扣除鉴证报告、支付凭证、发票、合同等相关证明材料为准。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eastAsia="zh-CN"/>
        </w:rPr>
        <w:t>注：同一事项，适用于第十条，同时又适用于龙岗区其它扶持政策时，申报单位可按照就高不就低的原则自主选择申报，不予重复扶持。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lang w:val="en-US" w:eastAsia="zh-CN"/>
        </w:rPr>
        <w:t>第十一条 人工智能应用场景示范项目扶持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（一）扶持范围：</w:t>
      </w:r>
      <w:r>
        <w:rPr>
          <w:rFonts w:hint="eastAsia" w:ascii="仿宋_GB2312" w:hAnsi="仿宋_GB2312" w:eastAsia="仿宋_GB2312" w:cs="仿宋_GB2312"/>
          <w:sz w:val="32"/>
          <w:szCs w:val="36"/>
          <w:highlight w:val="none"/>
          <w:lang w:eastAsia="zh-CN"/>
        </w:rPr>
        <w:t>支持企业在龙岗区</w:t>
      </w:r>
      <w:r>
        <w:rPr>
          <w:rFonts w:hint="eastAsia" w:ascii="仿宋_GB2312" w:hAnsi="仿宋_GB2312" w:eastAsia="仿宋_GB2312" w:cs="仿宋_GB2312"/>
          <w:sz w:val="32"/>
          <w:szCs w:val="36"/>
          <w:highlight w:val="none"/>
        </w:rPr>
        <w:t>建设具有行业引领的人工智能示范场景</w:t>
      </w:r>
      <w:r>
        <w:rPr>
          <w:rFonts w:hint="eastAsia" w:ascii="仿宋_GB2312" w:hAnsi="仿宋_GB2312" w:eastAsia="仿宋_GB2312" w:cs="仿宋_GB2312"/>
          <w:sz w:val="32"/>
          <w:szCs w:val="36"/>
          <w:highlight w:val="none"/>
          <w:lang w:val="en-US" w:eastAsia="zh-CN"/>
        </w:rPr>
        <w:t>项目</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（二）扶持方式和标准：</w:t>
      </w:r>
      <w:r>
        <w:rPr>
          <w:rFonts w:hint="eastAsia" w:ascii="仿宋_GB2312" w:hAnsi="仿宋_GB2312" w:eastAsia="仿宋_GB2312" w:cs="仿宋_GB2312"/>
          <w:sz w:val="32"/>
          <w:szCs w:val="36"/>
          <w:highlight w:val="none"/>
          <w:lang w:eastAsia="zh-CN"/>
        </w:rPr>
        <w:t>按照技术创新、市场推广、应用成效、发展潜力等维度，</w:t>
      </w:r>
      <w:r>
        <w:rPr>
          <w:rFonts w:hint="eastAsia" w:ascii="仿宋_GB2312" w:hAnsi="仿宋_GB2312" w:eastAsia="仿宋_GB2312" w:cs="仿宋_GB2312"/>
          <w:sz w:val="32"/>
          <w:szCs w:val="36"/>
          <w:highlight w:val="none"/>
          <w:lang w:val="en-US" w:eastAsia="zh-CN"/>
        </w:rPr>
        <w:t>每年遴选不超过20个具有行业引领的示范场景项目，最高按照项目（</w:t>
      </w:r>
      <w:r>
        <w:rPr>
          <w:rFonts w:hint="eastAsia" w:ascii="楷体_GB2312" w:hAnsi="楷体_GB2312" w:eastAsia="楷体_GB2312" w:cs="楷体_GB2312"/>
          <w:color w:val="auto"/>
          <w:sz w:val="32"/>
          <w:szCs w:val="36"/>
          <w:highlight w:val="none"/>
          <w:lang w:val="en-US" w:eastAsia="zh-CN"/>
        </w:rPr>
        <w:t>非政府投资项目</w:t>
      </w:r>
      <w:r>
        <w:rPr>
          <w:rFonts w:hint="eastAsia" w:ascii="仿宋_GB2312" w:hAnsi="仿宋_GB2312" w:eastAsia="仿宋_GB2312" w:cs="仿宋_GB2312"/>
          <w:sz w:val="32"/>
          <w:szCs w:val="36"/>
          <w:highlight w:val="none"/>
          <w:lang w:val="en-US" w:eastAsia="zh-CN"/>
        </w:rPr>
        <w:t>）实际投入的30%，给予最高不超过200万元支持</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eastAsia="zh-CN"/>
        </w:rPr>
      </w:pPr>
      <w:r>
        <w:rPr>
          <w:rFonts w:hint="eastAsia" w:ascii="仿宋_GB2312" w:hAnsi="仿宋_GB2312" w:eastAsia="仿宋_GB2312" w:cs="仿宋_GB2312"/>
          <w:sz w:val="32"/>
          <w:szCs w:val="36"/>
          <w:highlight w:val="none"/>
          <w:lang w:eastAsia="zh-CN"/>
        </w:rPr>
        <w:t>其中，项目须在</w:t>
      </w:r>
      <w:r>
        <w:rPr>
          <w:rFonts w:hint="eastAsia" w:ascii="仿宋_GB2312" w:hAnsi="仿宋_GB2312" w:eastAsia="仿宋_GB2312" w:cs="仿宋_GB2312"/>
          <w:sz w:val="32"/>
          <w:szCs w:val="36"/>
          <w:highlight w:val="none"/>
        </w:rPr>
        <w:t>申报指南发布前</w:t>
      </w:r>
      <w:r>
        <w:rPr>
          <w:rFonts w:hint="eastAsia" w:ascii="仿宋_GB2312" w:hAnsi="仿宋_GB2312" w:eastAsia="仿宋_GB2312" w:cs="仿宋_GB2312"/>
          <w:sz w:val="32"/>
          <w:szCs w:val="36"/>
          <w:highlight w:val="none"/>
          <w:lang w:val="en-US" w:eastAsia="zh-CN"/>
        </w:rPr>
        <w:t>两个周期</w:t>
      </w:r>
      <w:r>
        <w:rPr>
          <w:rFonts w:hint="eastAsia" w:ascii="仿宋_GB2312" w:hAnsi="仿宋_GB2312" w:eastAsia="仿宋_GB2312" w:cs="仿宋_GB2312"/>
          <w:sz w:val="32"/>
          <w:szCs w:val="36"/>
          <w:highlight w:val="none"/>
        </w:rPr>
        <w:t>年度内</w:t>
      </w:r>
      <w:r>
        <w:rPr>
          <w:rFonts w:hint="eastAsia" w:ascii="仿宋_GB2312" w:hAnsi="仿宋_GB2312" w:eastAsia="仿宋_GB2312" w:cs="仿宋_GB2312"/>
          <w:sz w:val="32"/>
          <w:szCs w:val="36"/>
          <w:highlight w:val="none"/>
          <w:lang w:eastAsia="zh-CN"/>
        </w:rPr>
        <w:t>开始建设，项目建设期不超过2年，且项目已建设完成。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（三）审核方式：</w:t>
      </w:r>
      <w:r>
        <w:rPr>
          <w:rFonts w:hint="eastAsia" w:ascii="仿宋_GB2312" w:hAnsi="仿宋_GB2312" w:eastAsia="仿宋_GB2312" w:cs="仿宋_GB2312"/>
          <w:sz w:val="32"/>
          <w:szCs w:val="36"/>
          <w:highlight w:val="none"/>
          <w:lang w:val="en-US" w:eastAsia="zh-CN"/>
        </w:rPr>
        <w:t>评审</w:t>
      </w:r>
      <w:r>
        <w:rPr>
          <w:rFonts w:hint="eastAsia" w:ascii="仿宋_GB2312" w:hAnsi="仿宋_GB2312" w:eastAsia="仿宋_GB2312" w:cs="仿宋_GB2312"/>
          <w:sz w:val="32"/>
          <w:szCs w:val="36"/>
          <w:highlight w:val="none"/>
        </w:rPr>
        <w:t>制。</w:t>
      </w:r>
      <w:r>
        <w:rPr>
          <w:rFonts w:hint="eastAsia" w:ascii="仿宋_GB2312" w:hAnsi="仿宋_GB2312" w:eastAsia="仿宋_GB2312" w:cs="仿宋_GB2312"/>
          <w:sz w:val="32"/>
          <w:szCs w:val="36"/>
          <w:highlight w:val="none"/>
          <w:lang w:val="en-US" w:eastAsia="zh-CN"/>
        </w:rPr>
        <w:t>以第三方专业服务机构评审结果</w:t>
      </w:r>
      <w:r>
        <w:rPr>
          <w:rFonts w:hint="eastAsia" w:ascii="仿宋_GB2312" w:hAnsi="仿宋_GB2312" w:eastAsia="仿宋_GB2312" w:cs="仿宋_GB2312"/>
          <w:sz w:val="32"/>
          <w:szCs w:val="36"/>
          <w:highlight w:val="none"/>
        </w:rPr>
        <w:t>为</w:t>
      </w:r>
      <w:r>
        <w:rPr>
          <w:rFonts w:hint="eastAsia" w:ascii="仿宋_GB2312" w:hAnsi="仿宋_GB2312" w:eastAsia="仿宋_GB2312" w:cs="仿宋_GB2312"/>
          <w:sz w:val="32"/>
          <w:szCs w:val="36"/>
          <w:highlight w:val="none"/>
          <w:lang w:val="en-US" w:eastAsia="zh-CN"/>
        </w:rPr>
        <w:t>参考依据</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lang w:val="en-US" w:eastAsia="zh-CN"/>
        </w:rPr>
        <w:t>第十二条 公共技术服务平台扶持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Arial" w:eastAsia="仿宋_GB2312" w:cs="Arial"/>
          <w:sz w:val="32"/>
          <w:szCs w:val="32"/>
          <w:highlight w:val="none"/>
        </w:rPr>
      </w:pPr>
      <w:r>
        <w:rPr>
          <w:rFonts w:hint="eastAsia" w:ascii="仿宋_GB2312" w:hAnsi="仿宋_GB2312" w:eastAsia="仿宋_GB2312" w:cs="仿宋_GB2312"/>
          <w:sz w:val="32"/>
          <w:szCs w:val="36"/>
          <w:highlight w:val="none"/>
        </w:rPr>
        <w:t>（一）扶持范围：</w:t>
      </w:r>
      <w:r>
        <w:rPr>
          <w:rFonts w:hint="eastAsia" w:ascii="仿宋_GB2312" w:hAnsi="仿宋_GB2312" w:eastAsia="仿宋_GB2312" w:cs="仿宋_GB2312"/>
          <w:sz w:val="32"/>
          <w:szCs w:val="36"/>
          <w:highlight w:val="none"/>
          <w:lang w:eastAsia="zh-CN"/>
        </w:rPr>
        <w:t>支持企业在龙岗区</w:t>
      </w:r>
      <w:r>
        <w:rPr>
          <w:rFonts w:hint="eastAsia" w:ascii="仿宋_GB2312" w:hAnsi="Arial" w:eastAsia="仿宋_GB2312" w:cs="Arial"/>
          <w:sz w:val="32"/>
          <w:szCs w:val="32"/>
          <w:highlight w:val="none"/>
        </w:rPr>
        <w:t>建设人工智能产业基地等人工智能公共技术服务平台，提供人工智能技术开发、大模型测评、测试验证、数据支撑或人才培训等服务</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（二）扶持方式和标准：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1.对经深圳市龙岗区人工智能（机器人）署评审认定的</w:t>
      </w:r>
      <w:r>
        <w:rPr>
          <w:rFonts w:hint="eastAsia" w:ascii="仿宋_GB2312" w:hAnsi="Arial" w:eastAsia="仿宋_GB2312" w:cs="Arial"/>
          <w:sz w:val="32"/>
          <w:szCs w:val="32"/>
          <w:highlight w:val="none"/>
        </w:rPr>
        <w:t>人工智能</w:t>
      </w:r>
      <w:r>
        <w:rPr>
          <w:rFonts w:hint="eastAsia" w:ascii="仿宋_GB2312" w:hAnsi="仿宋_GB2312" w:eastAsia="仿宋_GB2312" w:cs="仿宋_GB2312"/>
          <w:sz w:val="32"/>
          <w:szCs w:val="36"/>
          <w:highlight w:val="none"/>
          <w:lang w:val="en-US" w:eastAsia="zh-CN"/>
        </w:rPr>
        <w:t>公共技术服务平台，最高按其项目审定总投入的50%，给予不超过400万元的支持。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2.对经</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w:t>
      </w:r>
      <w:r>
        <w:rPr>
          <w:rFonts w:hint="eastAsia" w:ascii="仿宋_GB2312" w:hAnsi="仿宋_GB2312" w:eastAsia="仿宋_GB2312" w:cs="仿宋_GB2312"/>
          <w:sz w:val="32"/>
          <w:szCs w:val="36"/>
          <w:highlight w:val="none"/>
          <w:lang w:val="en-US" w:eastAsia="zh-CN"/>
        </w:rPr>
        <w:t>评审认定的</w:t>
      </w:r>
      <w:r>
        <w:rPr>
          <w:rFonts w:hint="eastAsia" w:ascii="仿宋_GB2312" w:hAnsi="Arial" w:eastAsia="仿宋_GB2312" w:cs="Arial"/>
          <w:sz w:val="32"/>
          <w:szCs w:val="32"/>
          <w:highlight w:val="none"/>
        </w:rPr>
        <w:t>人工智能</w:t>
      </w:r>
      <w:r>
        <w:rPr>
          <w:rFonts w:hint="eastAsia" w:ascii="仿宋_GB2312" w:hAnsi="仿宋_GB2312" w:eastAsia="仿宋_GB2312" w:cs="仿宋_GB2312"/>
          <w:sz w:val="32"/>
          <w:szCs w:val="36"/>
          <w:highlight w:val="none"/>
          <w:lang w:val="en-US" w:eastAsia="zh-CN"/>
        </w:rPr>
        <w:t>公共技术服务平台，根据上一年度服务企业数量及质量、服务活动次数等维度对平台进行考核，对考核通过的平台，最高按其上一年度核定运营费用的20%，给予不超过50万元的支持。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Arial" w:eastAsia="仿宋_GB2312" w:cs="Arial"/>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对以上两种扶持方式，同一平台连续支持时间不超过三年，连续支持次数不超过四次。</w:t>
      </w:r>
      <w:r>
        <w:rPr>
          <w:rFonts w:hint="eastAsia" w:ascii="仿宋_GB2312" w:hAnsi="仿宋_GB2312" w:eastAsia="仿宋_GB2312" w:cs="仿宋_GB2312"/>
          <w:sz w:val="32"/>
          <w:szCs w:val="36"/>
          <w:highlight w:val="none"/>
          <w:lang w:val="en-US" w:eastAsia="zh-CN"/>
        </w:rPr>
        <w:t>同一企业在本细则有效期内</w:t>
      </w:r>
      <w:r>
        <w:rPr>
          <w:rFonts w:hint="eastAsia" w:ascii="仿宋_GB2312" w:hAnsi="仿宋_GB2312" w:eastAsia="仿宋_GB2312" w:cs="仿宋_GB2312"/>
          <w:b w:val="0"/>
          <w:bCs w:val="0"/>
          <w:color w:val="auto"/>
          <w:sz w:val="32"/>
          <w:szCs w:val="32"/>
          <w:highlight w:val="none"/>
          <w:lang w:val="en-US" w:eastAsia="zh-CN"/>
        </w:rPr>
        <w:t>合计获得</w:t>
      </w:r>
      <w:r>
        <w:rPr>
          <w:rFonts w:hint="eastAsia" w:ascii="仿宋_GB2312" w:hAnsi="仿宋_GB2312" w:eastAsia="仿宋_GB2312" w:cs="仿宋_GB2312"/>
          <w:sz w:val="32"/>
          <w:szCs w:val="36"/>
          <w:highlight w:val="none"/>
          <w:lang w:val="en-US" w:eastAsia="zh-CN"/>
        </w:rPr>
        <w:t>最高不超过500万元支持</w:t>
      </w:r>
      <w:r>
        <w:rPr>
          <w:rFonts w:hint="eastAsia" w:ascii="仿宋_GB2312" w:hAnsi="Arial" w:eastAsia="仿宋_GB2312" w:cs="Arial"/>
          <w:color w:val="auto"/>
          <w:sz w:val="32"/>
          <w:szCs w:val="32"/>
          <w:highlight w:val="none"/>
          <w:lang w:eastAsia="zh-CN"/>
        </w:rPr>
        <w:t>。</w:t>
      </w:r>
      <w:r>
        <w:rPr>
          <w:rFonts w:hint="eastAsia" w:ascii="仿宋_GB2312" w:hAnsi="Arial" w:eastAsia="仿宋_GB2312" w:cs="Arial"/>
          <w:color w:val="auto"/>
          <w:sz w:val="32"/>
          <w:szCs w:val="32"/>
          <w:highlight w:val="none"/>
          <w:lang w:val="en-US" w:eastAsia="zh-CN"/>
        </w:rPr>
        <w:t>另外</w:t>
      </w:r>
      <w:r>
        <w:rPr>
          <w:rFonts w:hint="eastAsia" w:ascii="仿宋_GB2312" w:hAnsi="仿宋_GB2312" w:eastAsia="仿宋_GB2312" w:cs="仿宋_GB2312"/>
          <w:color w:val="auto"/>
          <w:sz w:val="32"/>
          <w:szCs w:val="32"/>
          <w:highlight w:val="none"/>
          <w:lang w:val="en-US" w:eastAsia="zh-CN"/>
        </w:rPr>
        <w:t>，</w:t>
      </w:r>
      <w:r>
        <w:rPr>
          <w:rFonts w:hint="eastAsia" w:ascii="仿宋_GB2312" w:hAnsi="Arial" w:eastAsia="仿宋_GB2312" w:cs="Arial"/>
          <w:color w:val="auto"/>
          <w:sz w:val="32"/>
          <w:szCs w:val="32"/>
          <w:highlight w:val="none"/>
          <w:lang w:val="en-US" w:eastAsia="zh-CN"/>
        </w:rPr>
        <w:t>平台须在</w:t>
      </w:r>
      <w:r>
        <w:rPr>
          <w:rFonts w:hint="eastAsia" w:ascii="仿宋_GB2312" w:hAnsi="仿宋_GB2312" w:eastAsia="仿宋_GB2312" w:cs="仿宋_GB2312"/>
          <w:sz w:val="32"/>
          <w:szCs w:val="36"/>
          <w:highlight w:val="none"/>
        </w:rPr>
        <w:t>申报指南发布前</w:t>
      </w:r>
      <w:r>
        <w:rPr>
          <w:rFonts w:hint="eastAsia" w:ascii="仿宋_GB2312" w:hAnsi="仿宋_GB2312" w:eastAsia="仿宋_GB2312" w:cs="仿宋_GB2312"/>
          <w:sz w:val="32"/>
          <w:szCs w:val="36"/>
          <w:highlight w:val="none"/>
          <w:lang w:val="en-US" w:eastAsia="zh-CN"/>
        </w:rPr>
        <w:t>两个周期</w:t>
      </w:r>
      <w:r>
        <w:rPr>
          <w:rFonts w:hint="eastAsia" w:ascii="仿宋_GB2312" w:hAnsi="仿宋_GB2312" w:eastAsia="仿宋_GB2312" w:cs="仿宋_GB2312"/>
          <w:sz w:val="32"/>
          <w:szCs w:val="36"/>
          <w:highlight w:val="none"/>
        </w:rPr>
        <w:t>年度内</w:t>
      </w:r>
      <w:r>
        <w:rPr>
          <w:rFonts w:hint="eastAsia" w:ascii="仿宋_GB2312" w:hAnsi="Arial" w:eastAsia="仿宋_GB2312" w:cs="Arial"/>
          <w:color w:val="auto"/>
          <w:sz w:val="32"/>
          <w:szCs w:val="32"/>
          <w:highlight w:val="none"/>
          <w:lang w:val="en-US" w:eastAsia="zh-CN"/>
        </w:rPr>
        <w:t>开始建设，建设期不超过2年，</w:t>
      </w:r>
      <w:r>
        <w:rPr>
          <w:rFonts w:hint="eastAsia" w:ascii="仿宋_GB2312" w:hAnsi="仿宋_GB2312" w:eastAsia="仿宋_GB2312" w:cs="仿宋_GB2312"/>
          <w:sz w:val="32"/>
          <w:szCs w:val="36"/>
          <w:highlight w:val="none"/>
          <w:lang w:eastAsia="zh-CN"/>
        </w:rPr>
        <w:t>且</w:t>
      </w:r>
      <w:r>
        <w:rPr>
          <w:rFonts w:hint="eastAsia" w:ascii="仿宋_GB2312" w:hAnsi="仿宋_GB2312" w:eastAsia="仿宋_GB2312" w:cs="仿宋_GB2312"/>
          <w:sz w:val="32"/>
          <w:szCs w:val="36"/>
          <w:highlight w:val="none"/>
          <w:lang w:val="en-US" w:eastAsia="zh-CN"/>
        </w:rPr>
        <w:t>平台</w:t>
      </w:r>
      <w:r>
        <w:rPr>
          <w:rFonts w:hint="eastAsia" w:ascii="仿宋_GB2312" w:hAnsi="仿宋_GB2312" w:eastAsia="仿宋_GB2312" w:cs="仿宋_GB2312"/>
          <w:sz w:val="32"/>
          <w:szCs w:val="36"/>
          <w:highlight w:val="none"/>
          <w:lang w:eastAsia="zh-CN"/>
        </w:rPr>
        <w:t>已建设完成</w:t>
      </w:r>
      <w:r>
        <w:rPr>
          <w:rFonts w:hint="eastAsia" w:ascii="仿宋_GB2312" w:hAnsi="Arial" w:eastAsia="仿宋_GB2312" w:cs="Arial"/>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rPr>
        <w:t>（三）审核方式：评审制。</w:t>
      </w:r>
      <w:r>
        <w:rPr>
          <w:rFonts w:hint="eastAsia" w:ascii="仿宋_GB2312" w:hAnsi="仿宋_GB2312" w:eastAsia="仿宋_GB2312" w:cs="仿宋_GB2312"/>
          <w:sz w:val="32"/>
          <w:szCs w:val="36"/>
          <w:highlight w:val="none"/>
          <w:lang w:val="en-US" w:eastAsia="zh-CN"/>
        </w:rPr>
        <w:t>以第三方专业服务机构评审结果</w:t>
      </w:r>
      <w:r>
        <w:rPr>
          <w:rFonts w:hint="eastAsia" w:ascii="仿宋_GB2312" w:hAnsi="仿宋_GB2312" w:eastAsia="仿宋_GB2312" w:cs="仿宋_GB2312"/>
          <w:sz w:val="32"/>
          <w:szCs w:val="36"/>
          <w:highlight w:val="none"/>
        </w:rPr>
        <w:t>为</w:t>
      </w:r>
      <w:r>
        <w:rPr>
          <w:rFonts w:hint="eastAsia" w:ascii="仿宋_GB2312" w:hAnsi="仿宋_GB2312" w:eastAsia="仿宋_GB2312" w:cs="仿宋_GB2312"/>
          <w:sz w:val="32"/>
          <w:szCs w:val="36"/>
          <w:highlight w:val="none"/>
          <w:lang w:val="en-US" w:eastAsia="zh-CN"/>
        </w:rPr>
        <w:t>参考依据</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rPr>
      </w:pPr>
      <w:r>
        <w:rPr>
          <w:rFonts w:hint="eastAsia" w:ascii="楷体_GB2312" w:hAnsi="楷体_GB2312" w:eastAsia="楷体_GB2312" w:cs="楷体_GB2312"/>
          <w:b w:val="0"/>
          <w:bCs w:val="0"/>
          <w:sz w:val="32"/>
          <w:szCs w:val="36"/>
          <w:highlight w:val="none"/>
        </w:rPr>
        <w:t>第十</w:t>
      </w:r>
      <w:r>
        <w:rPr>
          <w:rFonts w:hint="eastAsia" w:ascii="楷体_GB2312" w:hAnsi="楷体_GB2312" w:eastAsia="楷体_GB2312" w:cs="楷体_GB2312"/>
          <w:b w:val="0"/>
          <w:bCs w:val="0"/>
          <w:sz w:val="32"/>
          <w:szCs w:val="36"/>
          <w:highlight w:val="none"/>
          <w:lang w:val="en-US" w:eastAsia="zh-CN"/>
        </w:rPr>
        <w:t>三</w:t>
      </w:r>
      <w:r>
        <w:rPr>
          <w:rFonts w:hint="eastAsia" w:ascii="楷体_GB2312" w:hAnsi="楷体_GB2312" w:eastAsia="楷体_GB2312" w:cs="楷体_GB2312"/>
          <w:b w:val="0"/>
          <w:bCs w:val="0"/>
          <w:sz w:val="32"/>
          <w:szCs w:val="36"/>
          <w:highlight w:val="none"/>
        </w:rPr>
        <w:t xml:space="preserve">条 </w:t>
      </w:r>
      <w:r>
        <w:rPr>
          <w:rFonts w:hint="eastAsia" w:ascii="楷体_GB2312" w:hAnsi="楷体_GB2312" w:eastAsia="楷体_GB2312" w:cs="楷体_GB2312"/>
          <w:color w:val="auto"/>
          <w:sz w:val="32"/>
          <w:szCs w:val="32"/>
          <w:highlight w:val="none"/>
          <w:lang w:eastAsia="zh-CN"/>
        </w:rPr>
        <w:t>园区建设运营</w:t>
      </w:r>
      <w:r>
        <w:rPr>
          <w:rFonts w:hint="eastAsia" w:ascii="楷体_GB2312" w:hAnsi="楷体_GB2312" w:eastAsia="楷体_GB2312" w:cs="楷体_GB2312"/>
          <w:b w:val="0"/>
          <w:bCs w:val="0"/>
          <w:sz w:val="32"/>
          <w:szCs w:val="36"/>
          <w:highlight w:val="none"/>
        </w:rPr>
        <w:t>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（一）扶持范围：</w:t>
      </w:r>
      <w:r>
        <w:rPr>
          <w:rFonts w:hint="eastAsia" w:ascii="仿宋_GB2312" w:hAnsi="仿宋_GB2312" w:eastAsia="仿宋_GB2312" w:cs="仿宋_GB2312"/>
          <w:sz w:val="32"/>
          <w:szCs w:val="36"/>
          <w:highlight w:val="none"/>
          <w:lang w:eastAsia="zh-CN"/>
        </w:rPr>
        <w:t>支持</w:t>
      </w:r>
      <w:r>
        <w:rPr>
          <w:rFonts w:hint="eastAsia" w:ascii="仿宋_GB2312" w:hAnsi="仿宋_GB2312" w:eastAsia="仿宋_GB2312" w:cs="仿宋_GB2312"/>
          <w:sz w:val="32"/>
          <w:szCs w:val="36"/>
          <w:highlight w:val="none"/>
          <w:lang w:val="en-US" w:eastAsia="zh-CN"/>
        </w:rPr>
        <w:t>园区运营机构、产业空间运营机构</w:t>
      </w:r>
      <w:r>
        <w:rPr>
          <w:rFonts w:hint="eastAsia" w:ascii="仿宋_GB2312" w:hAnsi="仿宋_GB2312" w:eastAsia="仿宋_GB2312" w:cs="仿宋_GB2312"/>
          <w:sz w:val="32"/>
          <w:szCs w:val="36"/>
          <w:highlight w:val="none"/>
          <w:lang w:eastAsia="zh-CN"/>
        </w:rPr>
        <w:t>在龙岗区内运营与人工智能产业相关的园区以及产业空间</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（二）扶持方式和标准：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lang w:val="en-US" w:eastAsia="zh-CN"/>
        </w:rPr>
        <w:t>1.对于获评深圳市人工智能方向的特色软件名园，或工业和信息化部评定的人工智能方向的中国软件名园，给予园区运营机构一次性100万元支持。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2.</w:t>
      </w:r>
      <w:r>
        <w:rPr>
          <w:rFonts w:hint="eastAsia" w:hAnsi="Arial" w:eastAsia="仿宋_GB2312" w:cs="Arial"/>
          <w:color w:val="auto"/>
          <w:sz w:val="32"/>
          <w:szCs w:val="32"/>
          <w:highlight w:val="none"/>
          <w:lang w:val="en-US" w:eastAsia="zh-CN"/>
        </w:rPr>
        <w:t>支持打造</w:t>
      </w:r>
      <w:r>
        <w:rPr>
          <w:rFonts w:hint="eastAsia" w:ascii="仿宋_GB2312" w:hAnsi="仿宋_GB2312" w:eastAsia="仿宋_GB2312" w:cs="仿宋_GB2312"/>
          <w:sz w:val="32"/>
          <w:szCs w:val="36"/>
          <w:highlight w:val="none"/>
          <w:lang w:val="en-US" w:eastAsia="zh-CN"/>
        </w:rPr>
        <w:t>满足</w:t>
      </w:r>
      <w:r>
        <w:rPr>
          <w:rFonts w:hint="eastAsia" w:hAnsi="Arial" w:eastAsia="仿宋_GB2312" w:cs="Arial"/>
          <w:color w:val="auto"/>
          <w:sz w:val="32"/>
          <w:szCs w:val="32"/>
          <w:highlight w:val="none"/>
          <w:lang w:eastAsia="zh-CN"/>
        </w:rPr>
        <w:t>人工智能</w:t>
      </w:r>
      <w:r>
        <w:rPr>
          <w:rFonts w:hint="eastAsia" w:hAnsi="Arial" w:eastAsia="仿宋_GB2312" w:cs="Arial"/>
          <w:color w:val="auto"/>
          <w:sz w:val="32"/>
          <w:szCs w:val="32"/>
          <w:highlight w:val="none"/>
          <w:lang w:val="en-US" w:eastAsia="zh-CN"/>
        </w:rPr>
        <w:t>企业集聚发展的</w:t>
      </w:r>
      <w:r>
        <w:rPr>
          <w:rFonts w:hint="eastAsia" w:ascii="仿宋_GB2312" w:hAnsi="仿宋_GB2312" w:eastAsia="仿宋_GB2312" w:cs="仿宋_GB2312"/>
          <w:sz w:val="32"/>
          <w:szCs w:val="36"/>
          <w:highlight w:val="none"/>
          <w:lang w:eastAsia="zh-CN"/>
        </w:rPr>
        <w:t>产业空间，对</w:t>
      </w:r>
      <w:r>
        <w:rPr>
          <w:rFonts w:hint="eastAsia" w:ascii="仿宋_GB2312" w:hAnsi="仿宋_GB2312" w:eastAsia="仿宋_GB2312" w:cs="仿宋_GB2312"/>
          <w:sz w:val="32"/>
          <w:szCs w:val="36"/>
          <w:highlight w:val="none"/>
          <w:lang w:val="en-US" w:eastAsia="zh-CN"/>
        </w:rPr>
        <w:t>于经</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w:t>
      </w:r>
      <w:r>
        <w:rPr>
          <w:rFonts w:hint="eastAsia" w:ascii="仿宋_GB2312" w:hAnsi="仿宋_GB2312" w:eastAsia="仿宋_GB2312" w:cs="仿宋_GB2312"/>
          <w:sz w:val="32"/>
          <w:szCs w:val="36"/>
          <w:highlight w:val="none"/>
          <w:lang w:val="en-US" w:eastAsia="zh-CN"/>
        </w:rPr>
        <w:t>认定的</w:t>
      </w:r>
      <w:r>
        <w:rPr>
          <w:rFonts w:hint="eastAsia" w:ascii="仿宋_GB2312" w:hAnsi="仿宋_GB2312" w:eastAsia="仿宋_GB2312" w:cs="仿宋_GB2312"/>
          <w:sz w:val="32"/>
          <w:szCs w:val="36"/>
          <w:highlight w:val="none"/>
          <w:lang w:eastAsia="zh-CN"/>
        </w:rPr>
        <w:t>区级人工智能产业空间，截至申报指南发布通知日，每个</w:t>
      </w:r>
      <w:r>
        <w:rPr>
          <w:rFonts w:hint="eastAsia" w:ascii="仿宋_GB2312" w:hAnsi="仿宋_GB2312" w:eastAsia="仿宋_GB2312" w:cs="仿宋_GB2312"/>
          <w:sz w:val="32"/>
          <w:szCs w:val="36"/>
          <w:highlight w:val="none"/>
          <w:lang w:val="en-US" w:eastAsia="zh-CN"/>
        </w:rPr>
        <w:t>产业空间内实际经营的</w:t>
      </w:r>
      <w:r>
        <w:rPr>
          <w:rFonts w:hint="eastAsia" w:ascii="仿宋_GB2312" w:hAnsi="仿宋_GB2312" w:eastAsia="仿宋_GB2312" w:cs="仿宋_GB2312"/>
          <w:sz w:val="32"/>
          <w:szCs w:val="36"/>
          <w:highlight w:val="none"/>
          <w:lang w:eastAsia="zh-CN"/>
        </w:rPr>
        <w:t>人工智能企业</w:t>
      </w:r>
      <w:r>
        <w:rPr>
          <w:rFonts w:hint="eastAsia" w:ascii="仿宋_GB2312" w:hAnsi="仿宋_GB2312" w:eastAsia="仿宋_GB2312" w:cs="仿宋_GB2312"/>
          <w:sz w:val="32"/>
          <w:szCs w:val="36"/>
          <w:highlight w:val="none"/>
          <w:lang w:val="en-US" w:eastAsia="zh-CN"/>
        </w:rPr>
        <w:t>须同时</w:t>
      </w:r>
      <w:r>
        <w:rPr>
          <w:rFonts w:hint="eastAsia" w:ascii="仿宋_GB2312" w:hAnsi="仿宋_GB2312" w:eastAsia="仿宋_GB2312" w:cs="仿宋_GB2312"/>
          <w:sz w:val="32"/>
          <w:szCs w:val="36"/>
          <w:highlight w:val="none"/>
          <w:lang w:eastAsia="zh-CN"/>
        </w:rPr>
        <w:t>符合以下条件，给予产业空间运营机构每年相应</w:t>
      </w:r>
      <w:r>
        <w:rPr>
          <w:rFonts w:hint="eastAsia" w:ascii="仿宋_GB2312" w:hAnsi="仿宋_GB2312" w:eastAsia="仿宋_GB2312" w:cs="仿宋_GB2312"/>
          <w:sz w:val="32"/>
          <w:szCs w:val="36"/>
          <w:highlight w:val="none"/>
          <w:lang w:val="en-US" w:eastAsia="zh-CN"/>
        </w:rPr>
        <w:t>支持（如下表所示）。每家</w:t>
      </w:r>
      <w:r>
        <w:rPr>
          <w:rFonts w:hint="eastAsia" w:ascii="仿宋_GB2312" w:hAnsi="仿宋_GB2312" w:eastAsia="仿宋_GB2312" w:cs="仿宋_GB2312"/>
          <w:sz w:val="32"/>
          <w:szCs w:val="36"/>
          <w:highlight w:val="none"/>
          <w:lang w:eastAsia="zh-CN"/>
        </w:rPr>
        <w:t>产业空间运营机构每年最高支持</w:t>
      </w:r>
      <w:r>
        <w:rPr>
          <w:rFonts w:hint="eastAsia" w:ascii="仿宋_GB2312" w:hAnsi="仿宋_GB2312" w:eastAsia="仿宋_GB2312" w:cs="仿宋_GB2312"/>
          <w:sz w:val="32"/>
          <w:szCs w:val="36"/>
          <w:highlight w:val="none"/>
          <w:lang w:val="en-US" w:eastAsia="zh-CN"/>
        </w:rPr>
        <w:t>400万元，每家</w:t>
      </w:r>
      <w:r>
        <w:rPr>
          <w:rFonts w:hint="eastAsia" w:ascii="仿宋_GB2312" w:hAnsi="仿宋_GB2312" w:eastAsia="仿宋_GB2312" w:cs="仿宋_GB2312"/>
          <w:sz w:val="32"/>
          <w:szCs w:val="36"/>
          <w:highlight w:val="none"/>
          <w:lang w:eastAsia="zh-CN"/>
        </w:rPr>
        <w:t>产业空间运营机构每年只能申报不超过两个</w:t>
      </w:r>
      <w:r>
        <w:rPr>
          <w:rFonts w:hint="eastAsia" w:ascii="仿宋_GB2312" w:hAnsi="仿宋_GB2312" w:eastAsia="仿宋_GB2312" w:cs="仿宋_GB2312"/>
          <w:sz w:val="32"/>
          <w:szCs w:val="36"/>
          <w:highlight w:val="none"/>
          <w:lang w:val="en-US" w:eastAsia="zh-CN"/>
        </w:rPr>
        <w:t>产业空间。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1"/>
        <w:gridCol w:w="4514"/>
        <w:gridCol w:w="2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1" w:type="dxa"/>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6"/>
                <w:highlight w:val="none"/>
                <w:vertAlign w:val="baseline"/>
                <w:lang w:eastAsia="zh-CN"/>
              </w:rPr>
            </w:pPr>
            <w:r>
              <w:rPr>
                <w:rFonts w:hint="eastAsia" w:ascii="仿宋_GB2312" w:hAnsi="仿宋_GB2312" w:eastAsia="仿宋_GB2312" w:cs="仿宋_GB2312"/>
                <w:sz w:val="32"/>
                <w:szCs w:val="36"/>
                <w:highlight w:val="none"/>
                <w:lang w:eastAsia="zh-CN"/>
              </w:rPr>
              <w:t>企业数量</w:t>
            </w:r>
          </w:p>
        </w:tc>
        <w:tc>
          <w:tcPr>
            <w:tcW w:w="4514" w:type="dxa"/>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6"/>
                <w:highlight w:val="none"/>
                <w:vertAlign w:val="baseline"/>
                <w:lang w:eastAsia="zh-CN"/>
              </w:rPr>
            </w:pPr>
            <w:r>
              <w:rPr>
                <w:rFonts w:hint="eastAsia" w:ascii="仿宋_GB2312" w:hAnsi="仿宋_GB2312" w:eastAsia="仿宋_GB2312" w:cs="仿宋_GB2312"/>
                <w:sz w:val="32"/>
                <w:szCs w:val="36"/>
                <w:highlight w:val="none"/>
                <w:lang w:val="en-US" w:eastAsia="zh-CN"/>
              </w:rPr>
              <w:t>企业实际入驻面积</w:t>
            </w:r>
          </w:p>
        </w:tc>
        <w:tc>
          <w:tcPr>
            <w:tcW w:w="2466" w:type="dxa"/>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6"/>
                <w:highlight w:val="none"/>
                <w:vertAlign w:val="baseline"/>
                <w:lang w:eastAsia="zh-CN"/>
              </w:rPr>
            </w:pPr>
            <w:r>
              <w:rPr>
                <w:rFonts w:hint="eastAsia" w:ascii="仿宋_GB2312" w:hAnsi="仿宋_GB2312" w:eastAsia="仿宋_GB2312" w:cs="仿宋_GB2312"/>
                <w:sz w:val="32"/>
                <w:szCs w:val="36"/>
                <w:highlight w:val="none"/>
                <w:vertAlign w:val="baseline"/>
                <w:lang w:eastAsia="zh-CN"/>
              </w:rPr>
              <w:t>最高支持金额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1"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6"/>
                <w:highlight w:val="none"/>
                <w:vertAlign w:val="baseline"/>
                <w:lang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不少于10家</w:t>
            </w:r>
          </w:p>
        </w:tc>
        <w:tc>
          <w:tcPr>
            <w:tcW w:w="4514"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6"/>
                <w:highlight w:val="none"/>
                <w:vertAlign w:val="baseline"/>
                <w:lang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不少于1000平方米</w:t>
            </w:r>
          </w:p>
        </w:tc>
        <w:tc>
          <w:tcPr>
            <w:tcW w:w="2466"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6"/>
                <w:highlight w:val="none"/>
                <w:vertAlign w:val="baseline"/>
                <w:lang w:val="en-US"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200万元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81"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不少于20家</w:t>
            </w:r>
          </w:p>
        </w:tc>
        <w:tc>
          <w:tcPr>
            <w:tcW w:w="4514"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6"/>
                <w:highlight w:val="none"/>
                <w:vertAlign w:val="baseline"/>
                <w:lang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不少于2000平方米</w:t>
            </w:r>
          </w:p>
        </w:tc>
        <w:tc>
          <w:tcPr>
            <w:tcW w:w="2466"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6"/>
                <w:highlight w:val="none"/>
                <w:vertAlign w:val="baseline"/>
                <w:lang w:val="en-US"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300万元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1" w:type="dxa"/>
            <w:vAlign w:val="top"/>
          </w:tcPr>
          <w:p>
            <w:pPr>
              <w:keepNext w:val="0"/>
              <w:keepLines w:val="0"/>
              <w:widowControl w:val="0"/>
              <w:suppressLineNumbers w:val="0"/>
              <w:spacing w:line="540" w:lineRule="exact"/>
              <w:jc w:val="center"/>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不少于30家</w:t>
            </w:r>
          </w:p>
        </w:tc>
        <w:tc>
          <w:tcPr>
            <w:tcW w:w="4514" w:type="dxa"/>
            <w:vAlign w:val="top"/>
          </w:tcPr>
          <w:p>
            <w:pPr>
              <w:keepNext w:val="0"/>
              <w:keepLines w:val="0"/>
              <w:widowControl w:val="0"/>
              <w:suppressLineNumbers w:val="0"/>
              <w:spacing w:line="540" w:lineRule="exact"/>
              <w:jc w:val="center"/>
              <w:textAlignment w:val="auto"/>
              <w:rPr>
                <w:rFonts w:hint="eastAsia" w:ascii="仿宋_GB2312" w:hAnsi="仿宋_GB2312" w:eastAsia="仿宋_GB2312" w:cs="仿宋_GB2312"/>
                <w:sz w:val="32"/>
                <w:szCs w:val="36"/>
                <w:highlight w:val="none"/>
                <w:vertAlign w:val="baseline"/>
                <w:lang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不少于3000平方米</w:t>
            </w:r>
          </w:p>
        </w:tc>
        <w:tc>
          <w:tcPr>
            <w:tcW w:w="2466" w:type="dxa"/>
            <w:vAlign w:val="top"/>
          </w:tcPr>
          <w:p>
            <w:pPr>
              <w:keepNext w:val="0"/>
              <w:keepLines w:val="0"/>
              <w:widowControl w:val="0"/>
              <w:suppressLineNumbers w:val="0"/>
              <w:spacing w:line="540" w:lineRule="exact"/>
              <w:jc w:val="center"/>
              <w:textAlignment w:val="auto"/>
              <w:rPr>
                <w:rFonts w:hint="eastAsia" w:ascii="仿宋_GB2312" w:hAnsi="仿宋_GB2312" w:eastAsia="仿宋_GB2312" w:cs="仿宋_GB2312"/>
                <w:sz w:val="32"/>
                <w:szCs w:val="36"/>
                <w:highlight w:val="none"/>
                <w:vertAlign w:val="baseline"/>
                <w:lang w:val="en-US"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400万元</w:t>
            </w:r>
          </w:p>
        </w:tc>
      </w:tr>
    </w:tbl>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（三）审核方式：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lang w:val="en-US" w:eastAsia="zh-CN"/>
        </w:rPr>
        <w:t>1.对以上扶持方式1，采用</w:t>
      </w:r>
      <w:r>
        <w:rPr>
          <w:rFonts w:hint="eastAsia" w:ascii="仿宋_GB2312" w:hAnsi="仿宋_GB2312" w:eastAsia="仿宋_GB2312" w:cs="仿宋_GB2312"/>
          <w:sz w:val="32"/>
          <w:szCs w:val="36"/>
          <w:highlight w:val="none"/>
        </w:rPr>
        <w:t>核准制。</w:t>
      </w:r>
      <w:r>
        <w:rPr>
          <w:rFonts w:hint="eastAsia" w:ascii="仿宋_GB2312" w:hAnsi="仿宋_GB2312" w:eastAsia="仿宋_GB2312" w:cs="仿宋_GB2312"/>
          <w:sz w:val="32"/>
          <w:szCs w:val="36"/>
          <w:highlight w:val="none"/>
          <w:lang w:val="en-US" w:eastAsia="zh-CN"/>
        </w:rPr>
        <w:t>以上级认定文件</w:t>
      </w:r>
      <w:r>
        <w:rPr>
          <w:rFonts w:hint="eastAsia" w:ascii="仿宋_GB2312" w:hAnsi="仿宋_GB2312" w:eastAsia="仿宋_GB2312" w:cs="仿宋_GB2312"/>
          <w:sz w:val="32"/>
          <w:szCs w:val="36"/>
          <w:highlight w:val="none"/>
          <w:lang w:eastAsia="zh-CN"/>
        </w:rPr>
        <w:t>等</w:t>
      </w:r>
      <w:r>
        <w:rPr>
          <w:rFonts w:hint="eastAsia" w:ascii="仿宋_GB2312" w:hAnsi="仿宋_GB2312" w:eastAsia="仿宋_GB2312" w:cs="仿宋_GB2312"/>
          <w:sz w:val="32"/>
          <w:szCs w:val="36"/>
          <w:highlight w:val="none"/>
        </w:rPr>
        <w:t>相关证明材料为准。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lang w:val="en-US" w:eastAsia="zh-CN"/>
        </w:rPr>
      </w:pPr>
      <w:r>
        <w:rPr>
          <w:rFonts w:hint="eastAsia" w:ascii="仿宋_GB2312" w:hAnsi="仿宋_GB2312" w:eastAsia="仿宋_GB2312" w:cs="仿宋_GB2312"/>
          <w:sz w:val="32"/>
          <w:szCs w:val="36"/>
          <w:highlight w:val="none"/>
          <w:lang w:val="en-US" w:eastAsia="zh-CN"/>
        </w:rPr>
        <w:t>2.对以上扶持方式2，采用</w:t>
      </w:r>
      <w:r>
        <w:rPr>
          <w:rFonts w:hint="eastAsia" w:ascii="仿宋_GB2312" w:hAnsi="仿宋_GB2312" w:eastAsia="仿宋_GB2312" w:cs="仿宋_GB2312"/>
          <w:sz w:val="32"/>
          <w:szCs w:val="36"/>
          <w:highlight w:val="none"/>
          <w:lang w:eastAsia="zh-CN"/>
        </w:rPr>
        <w:t>评审</w:t>
      </w:r>
      <w:r>
        <w:rPr>
          <w:rFonts w:hint="eastAsia" w:ascii="仿宋_GB2312" w:hAnsi="仿宋_GB2312" w:eastAsia="仿宋_GB2312" w:cs="仿宋_GB2312"/>
          <w:sz w:val="32"/>
          <w:szCs w:val="36"/>
          <w:highlight w:val="none"/>
        </w:rPr>
        <w:t>制</w:t>
      </w:r>
      <w:r>
        <w:rPr>
          <w:rFonts w:hint="eastAsia" w:ascii="仿宋_GB2312" w:hAnsi="仿宋_GB2312" w:eastAsia="仿宋_GB2312" w:cs="仿宋_GB2312"/>
          <w:sz w:val="32"/>
          <w:szCs w:val="36"/>
          <w:highlight w:val="none"/>
          <w:lang w:val="en-US" w:eastAsia="zh-CN"/>
        </w:rPr>
        <w:t>。以租赁合同、营业执照等相关证明材料为准</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同一</w:t>
      </w:r>
      <w:r>
        <w:rPr>
          <w:rFonts w:hint="eastAsia" w:ascii="仿宋_GB2312" w:hAnsi="仿宋_GB2312" w:eastAsia="仿宋_GB2312" w:cs="仿宋_GB2312"/>
          <w:sz w:val="32"/>
          <w:szCs w:val="36"/>
          <w:highlight w:val="none"/>
          <w:lang w:eastAsia="zh-CN"/>
        </w:rPr>
        <w:t>运营机构</w:t>
      </w:r>
      <w:r>
        <w:rPr>
          <w:rFonts w:hint="eastAsia" w:ascii="仿宋_GB2312" w:hAnsi="仿宋_GB2312" w:eastAsia="仿宋_GB2312" w:cs="仿宋_GB2312"/>
          <w:sz w:val="32"/>
          <w:szCs w:val="36"/>
          <w:highlight w:val="none"/>
          <w:lang w:val="en-US" w:eastAsia="zh-CN"/>
        </w:rPr>
        <w:t>，按照从高不重复的原则</w:t>
      </w:r>
      <w:r>
        <w:rPr>
          <w:rFonts w:hint="eastAsia" w:ascii="仿宋_GB2312" w:hAnsi="仿宋_GB2312" w:eastAsia="仿宋_GB2312" w:cs="仿宋_GB2312"/>
          <w:sz w:val="32"/>
          <w:szCs w:val="36"/>
          <w:highlight w:val="none"/>
        </w:rPr>
        <w:t>享受本</w:t>
      </w:r>
      <w:r>
        <w:rPr>
          <w:rFonts w:hint="eastAsia" w:ascii="仿宋_GB2312" w:hAnsi="仿宋_GB2312" w:eastAsia="仿宋_GB2312" w:cs="仿宋_GB2312"/>
          <w:sz w:val="32"/>
          <w:szCs w:val="36"/>
          <w:highlight w:val="none"/>
          <w:lang w:val="en-US" w:eastAsia="zh-CN"/>
        </w:rPr>
        <w:t>扶持方式</w:t>
      </w:r>
      <w:r>
        <w:rPr>
          <w:rFonts w:hint="eastAsia" w:ascii="仿宋_GB2312" w:hAnsi="仿宋_GB2312" w:eastAsia="仿宋_GB2312" w:cs="仿宋_GB2312"/>
          <w:sz w:val="32"/>
          <w:szCs w:val="36"/>
          <w:highlight w:val="none"/>
        </w:rPr>
        <w:t>规定的资金扶持政策</w:t>
      </w:r>
      <w:r>
        <w:rPr>
          <w:rFonts w:hint="eastAsia" w:ascii="仿宋_GB2312" w:hAnsi="仿宋_GB2312" w:eastAsia="仿宋_GB2312" w:cs="仿宋_GB2312"/>
          <w:sz w:val="32"/>
          <w:szCs w:val="36"/>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lang w:val="en-US" w:eastAsia="zh-CN"/>
        </w:rPr>
        <w:t>第十四条 重大活动项目扶持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rPr>
        <w:t>（一）扶持范围：在</w:t>
      </w:r>
      <w:r>
        <w:rPr>
          <w:rFonts w:hint="eastAsia" w:ascii="仿宋_GB2312" w:hAnsi="仿宋_GB2312" w:eastAsia="仿宋_GB2312" w:cs="仿宋_GB2312"/>
          <w:strike w:val="0"/>
          <w:sz w:val="32"/>
          <w:szCs w:val="36"/>
          <w:highlight w:val="none"/>
        </w:rPr>
        <w:t>龙岗区</w:t>
      </w:r>
      <w:r>
        <w:rPr>
          <w:rFonts w:hint="eastAsia" w:ascii="仿宋_GB2312" w:hAnsi="仿宋_GB2312" w:eastAsia="仿宋_GB2312" w:cs="仿宋_GB2312"/>
          <w:strike w:val="0"/>
          <w:sz w:val="32"/>
          <w:szCs w:val="36"/>
          <w:highlight w:val="none"/>
          <w:lang w:eastAsia="zh-CN"/>
        </w:rPr>
        <w:t>内</w:t>
      </w:r>
      <w:r>
        <w:rPr>
          <w:rFonts w:hint="eastAsia" w:ascii="仿宋_GB2312" w:hAnsi="仿宋_GB2312" w:eastAsia="仿宋_GB2312" w:cs="仿宋_GB2312"/>
          <w:sz w:val="32"/>
          <w:szCs w:val="36"/>
          <w:highlight w:val="none"/>
          <w:lang w:val="en-US" w:eastAsia="zh-CN"/>
        </w:rPr>
        <w:t>主办</w:t>
      </w:r>
      <w:r>
        <w:rPr>
          <w:rFonts w:hint="eastAsia" w:ascii="仿宋_GB2312" w:hAnsi="仿宋_GB2312" w:eastAsia="仿宋_GB2312" w:cs="仿宋_GB2312"/>
          <w:sz w:val="32"/>
          <w:szCs w:val="36"/>
          <w:highlight w:val="none"/>
        </w:rPr>
        <w:t>具有重大国际、国内影响力的人工智能、具身智能机器人等相关</w:t>
      </w:r>
      <w:r>
        <w:rPr>
          <w:rFonts w:hint="eastAsia" w:ascii="仿宋_GB2312" w:hAnsi="仿宋_GB2312" w:eastAsia="仿宋_GB2312" w:cs="仿宋_GB2312"/>
          <w:sz w:val="32"/>
          <w:szCs w:val="36"/>
          <w:highlight w:val="none"/>
          <w:lang w:val="en-US" w:eastAsia="zh-CN"/>
        </w:rPr>
        <w:t>展会</w:t>
      </w:r>
      <w:r>
        <w:rPr>
          <w:rFonts w:hint="eastAsia" w:ascii="仿宋_GB2312" w:hAnsi="仿宋_GB2312" w:eastAsia="仿宋_GB2312" w:cs="仿宋_GB2312"/>
          <w:color w:val="auto"/>
          <w:sz w:val="32"/>
          <w:szCs w:val="36"/>
          <w:highlight w:val="none"/>
          <w:lang w:val="en-US" w:eastAsia="zh-CN"/>
        </w:rPr>
        <w:t>或大</w:t>
      </w:r>
      <w:r>
        <w:rPr>
          <w:rFonts w:hint="eastAsia" w:ascii="仿宋_GB2312" w:hAnsi="仿宋_GB2312" w:eastAsia="仿宋_GB2312" w:cs="仿宋_GB2312"/>
          <w:sz w:val="32"/>
          <w:szCs w:val="36"/>
          <w:highlight w:val="none"/>
          <w:lang w:val="en-US" w:eastAsia="zh-CN"/>
        </w:rPr>
        <w:t>赛的</w:t>
      </w:r>
      <w:r>
        <w:rPr>
          <w:rFonts w:hint="eastAsia" w:ascii="仿宋_GB2312" w:hAnsi="仿宋_GB2312" w:eastAsia="仿宋_GB2312" w:cs="仿宋_GB2312"/>
          <w:sz w:val="32"/>
          <w:szCs w:val="36"/>
          <w:highlight w:val="none"/>
        </w:rPr>
        <w:t>企业、行业协会、民办非企业单位</w:t>
      </w:r>
      <w:r>
        <w:rPr>
          <w:rFonts w:hint="eastAsia" w:ascii="仿宋_GB2312" w:hAnsi="仿宋_GB2312" w:eastAsia="仿宋_GB2312" w:cs="仿宋_GB2312"/>
          <w:sz w:val="32"/>
          <w:szCs w:val="36"/>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lang w:val="en-US" w:eastAsia="zh-CN"/>
        </w:rPr>
        <w:t>（二）</w:t>
      </w:r>
      <w:r>
        <w:rPr>
          <w:rFonts w:hint="eastAsia" w:ascii="仿宋_GB2312" w:hAnsi="仿宋_GB2312" w:eastAsia="仿宋_GB2312" w:cs="仿宋_GB2312"/>
          <w:sz w:val="32"/>
          <w:szCs w:val="36"/>
          <w:highlight w:val="none"/>
        </w:rPr>
        <w:t>扶持方式和标准：经</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w:t>
      </w:r>
      <w:r>
        <w:rPr>
          <w:rFonts w:hint="eastAsia" w:ascii="仿宋_GB2312" w:hAnsi="仿宋_GB2312" w:eastAsia="仿宋_GB2312" w:cs="仿宋_GB2312"/>
          <w:sz w:val="32"/>
          <w:szCs w:val="36"/>
          <w:highlight w:val="none"/>
          <w:lang w:val="en-US" w:eastAsia="zh-CN"/>
        </w:rPr>
        <w:t>备案的相关</w:t>
      </w:r>
      <w:r>
        <w:rPr>
          <w:rFonts w:hint="eastAsia" w:ascii="仿宋_GB2312" w:hAnsi="仿宋_GB2312" w:eastAsia="仿宋_GB2312" w:cs="仿宋_GB2312"/>
          <w:color w:val="auto"/>
          <w:sz w:val="32"/>
          <w:szCs w:val="36"/>
          <w:highlight w:val="none"/>
          <w:lang w:val="en-US" w:eastAsia="zh-CN"/>
        </w:rPr>
        <w:t>展会或大赛</w:t>
      </w:r>
      <w:r>
        <w:rPr>
          <w:rFonts w:hint="eastAsia" w:ascii="仿宋_GB2312" w:hAnsi="仿宋_GB2312" w:eastAsia="仿宋_GB2312" w:cs="仿宋_GB2312"/>
          <w:sz w:val="32"/>
          <w:szCs w:val="36"/>
          <w:highlight w:val="none"/>
        </w:rPr>
        <w:t>，按活动实际发生费用的</w:t>
      </w:r>
      <w:r>
        <w:rPr>
          <w:rFonts w:hint="eastAsia" w:ascii="仿宋_GB2312" w:hAnsi="仿宋_GB2312" w:eastAsia="仿宋_GB2312" w:cs="仿宋_GB2312"/>
          <w:sz w:val="32"/>
          <w:szCs w:val="36"/>
          <w:highlight w:val="none"/>
          <w:lang w:val="en-US" w:eastAsia="zh-CN"/>
        </w:rPr>
        <w:t>3</w:t>
      </w:r>
      <w:r>
        <w:rPr>
          <w:rFonts w:hint="eastAsia" w:ascii="仿宋_GB2312" w:hAnsi="仿宋_GB2312" w:eastAsia="仿宋_GB2312" w:cs="仿宋_GB2312"/>
          <w:sz w:val="32"/>
          <w:szCs w:val="36"/>
          <w:highlight w:val="none"/>
        </w:rPr>
        <w:t>0%予以支持，单个活动最高不超过300万元。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default" w:ascii="仿宋_GB2312" w:hAnsi="仿宋_GB2312" w:eastAsia="仿宋_GB2312" w:cs="仿宋_GB2312"/>
          <w:sz w:val="32"/>
          <w:szCs w:val="36"/>
          <w:highlight w:val="none"/>
          <w:lang w:val="en-US" w:eastAsia="zh-CN"/>
        </w:rPr>
        <w:t>1.大赛需符合以下条件</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大赛组别不低于</w:t>
      </w:r>
      <w:r>
        <w:rPr>
          <w:rFonts w:hint="eastAsia" w:ascii="仿宋_GB2312" w:hAnsi="仿宋_GB2312" w:eastAsia="仿宋_GB2312" w:cs="仿宋_GB2312"/>
          <w:sz w:val="32"/>
          <w:szCs w:val="36"/>
          <w:highlight w:val="none"/>
          <w:lang w:val="en-US" w:eastAsia="zh-CN"/>
        </w:rPr>
        <w:t>3</w:t>
      </w:r>
      <w:r>
        <w:rPr>
          <w:rFonts w:hint="default" w:ascii="仿宋_GB2312" w:hAnsi="仿宋_GB2312" w:eastAsia="仿宋_GB2312" w:cs="仿宋_GB2312"/>
          <w:sz w:val="32"/>
          <w:szCs w:val="36"/>
          <w:highlight w:val="none"/>
          <w:lang w:val="en-US" w:eastAsia="zh-CN"/>
        </w:rPr>
        <w:t>个</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参赛作品不低于</w:t>
      </w:r>
      <w:r>
        <w:rPr>
          <w:rFonts w:hint="eastAsia" w:ascii="仿宋_GB2312" w:hAnsi="仿宋_GB2312" w:eastAsia="仿宋_GB2312" w:cs="仿宋_GB2312"/>
          <w:sz w:val="32"/>
          <w:szCs w:val="36"/>
          <w:highlight w:val="none"/>
          <w:lang w:val="en-US" w:eastAsia="zh-CN"/>
        </w:rPr>
        <w:t>2000</w:t>
      </w:r>
      <w:r>
        <w:rPr>
          <w:rFonts w:hint="default" w:ascii="仿宋_GB2312" w:hAnsi="仿宋_GB2312" w:eastAsia="仿宋_GB2312" w:cs="仿宋_GB2312"/>
          <w:sz w:val="32"/>
          <w:szCs w:val="36"/>
          <w:highlight w:val="none"/>
          <w:lang w:val="en-US" w:eastAsia="zh-CN"/>
        </w:rPr>
        <w:t>件</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参赛国家和地区不低于</w:t>
      </w:r>
      <w:r>
        <w:rPr>
          <w:rFonts w:hint="eastAsia" w:ascii="仿宋_GB2312" w:hAnsi="仿宋_GB2312" w:eastAsia="仿宋_GB2312" w:cs="仿宋_GB2312"/>
          <w:sz w:val="32"/>
          <w:szCs w:val="36"/>
          <w:highlight w:val="none"/>
          <w:lang w:val="en-US" w:eastAsia="zh-CN"/>
        </w:rPr>
        <w:t>5</w:t>
      </w:r>
      <w:r>
        <w:rPr>
          <w:rFonts w:hint="default" w:ascii="仿宋_GB2312" w:hAnsi="仿宋_GB2312" w:eastAsia="仿宋_GB2312" w:cs="仿宋_GB2312"/>
          <w:sz w:val="32"/>
          <w:szCs w:val="36"/>
          <w:highlight w:val="none"/>
          <w:lang w:val="en-US" w:eastAsia="zh-CN"/>
        </w:rPr>
        <w:t>个</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赛事评委不低于</w:t>
      </w:r>
      <w:r>
        <w:rPr>
          <w:rFonts w:hint="eastAsia" w:ascii="仿宋_GB2312" w:hAnsi="仿宋_GB2312" w:eastAsia="仿宋_GB2312" w:cs="仿宋_GB2312"/>
          <w:sz w:val="32"/>
          <w:szCs w:val="36"/>
          <w:highlight w:val="none"/>
          <w:lang w:val="en-US" w:eastAsia="zh-CN"/>
        </w:rPr>
        <w:t>10</w:t>
      </w:r>
      <w:r>
        <w:rPr>
          <w:rFonts w:hint="default" w:ascii="仿宋_GB2312" w:hAnsi="仿宋_GB2312" w:eastAsia="仿宋_GB2312" w:cs="仿宋_GB2312"/>
          <w:sz w:val="32"/>
          <w:szCs w:val="36"/>
          <w:highlight w:val="none"/>
          <w:lang w:val="en-US" w:eastAsia="zh-CN"/>
        </w:rPr>
        <w:t>名</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市内外主流媒体和专业媒体对活动参与宣传报道。</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default" w:ascii="仿宋_GB2312" w:hAnsi="仿宋_GB2312" w:eastAsia="仿宋_GB2312" w:cs="仿宋_GB2312"/>
          <w:sz w:val="32"/>
          <w:szCs w:val="36"/>
          <w:highlight w:val="none"/>
          <w:lang w:val="en-US" w:eastAsia="zh-CN"/>
        </w:rPr>
        <w:t>2.展会需符合以下条件</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活动面积不低于</w:t>
      </w:r>
      <w:r>
        <w:rPr>
          <w:rFonts w:hint="eastAsia" w:ascii="仿宋_GB2312" w:hAnsi="仿宋_GB2312" w:eastAsia="仿宋_GB2312" w:cs="仿宋_GB2312"/>
          <w:sz w:val="32"/>
          <w:szCs w:val="36"/>
          <w:highlight w:val="none"/>
          <w:lang w:val="en-US" w:eastAsia="zh-CN"/>
        </w:rPr>
        <w:t>5</w:t>
      </w:r>
      <w:r>
        <w:rPr>
          <w:rFonts w:hint="default" w:ascii="仿宋_GB2312" w:hAnsi="仿宋_GB2312" w:eastAsia="仿宋_GB2312" w:cs="仿宋_GB2312"/>
          <w:sz w:val="32"/>
          <w:szCs w:val="36"/>
          <w:highlight w:val="none"/>
          <w:lang w:val="en-US" w:eastAsia="zh-CN"/>
        </w:rPr>
        <w:t>000平方米</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参展</w:t>
      </w:r>
      <w:r>
        <w:rPr>
          <w:rFonts w:hint="eastAsia" w:ascii="仿宋_GB2312" w:hAnsi="仿宋_GB2312" w:eastAsia="仿宋_GB2312" w:cs="仿宋_GB2312"/>
          <w:sz w:val="32"/>
          <w:szCs w:val="36"/>
          <w:highlight w:val="none"/>
          <w:lang w:val="en-US" w:eastAsia="zh-CN"/>
        </w:rPr>
        <w:t>单位</w:t>
      </w:r>
      <w:r>
        <w:rPr>
          <w:rFonts w:hint="default" w:ascii="仿宋_GB2312" w:hAnsi="仿宋_GB2312" w:eastAsia="仿宋_GB2312" w:cs="仿宋_GB2312"/>
          <w:sz w:val="32"/>
          <w:szCs w:val="36"/>
          <w:highlight w:val="none"/>
          <w:lang w:val="en-US" w:eastAsia="zh-CN"/>
        </w:rPr>
        <w:t>不低于</w:t>
      </w:r>
      <w:r>
        <w:rPr>
          <w:rFonts w:hint="eastAsia" w:ascii="仿宋_GB2312" w:hAnsi="仿宋_GB2312" w:eastAsia="仿宋_GB2312" w:cs="仿宋_GB2312"/>
          <w:sz w:val="32"/>
          <w:szCs w:val="36"/>
          <w:highlight w:val="none"/>
          <w:lang w:val="en-US" w:eastAsia="zh-CN"/>
        </w:rPr>
        <w:t>200</w:t>
      </w:r>
      <w:r>
        <w:rPr>
          <w:rFonts w:hint="default" w:ascii="仿宋_GB2312" w:hAnsi="仿宋_GB2312" w:eastAsia="仿宋_GB2312" w:cs="仿宋_GB2312"/>
          <w:sz w:val="32"/>
          <w:szCs w:val="36"/>
          <w:highlight w:val="none"/>
          <w:lang w:val="en-US" w:eastAsia="zh-CN"/>
        </w:rPr>
        <w:t>家</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参</w:t>
      </w:r>
      <w:r>
        <w:rPr>
          <w:rFonts w:hint="eastAsia" w:ascii="仿宋_GB2312" w:hAnsi="仿宋_GB2312" w:eastAsia="仿宋_GB2312" w:cs="仿宋_GB2312"/>
          <w:sz w:val="32"/>
          <w:szCs w:val="36"/>
          <w:highlight w:val="none"/>
          <w:lang w:val="en-US" w:eastAsia="zh-CN"/>
        </w:rPr>
        <w:t>展产</w:t>
      </w:r>
      <w:r>
        <w:rPr>
          <w:rFonts w:hint="default" w:ascii="仿宋_GB2312" w:hAnsi="仿宋_GB2312" w:eastAsia="仿宋_GB2312" w:cs="仿宋_GB2312"/>
          <w:sz w:val="32"/>
          <w:szCs w:val="36"/>
          <w:highlight w:val="none"/>
          <w:lang w:val="en-US" w:eastAsia="zh-CN"/>
        </w:rPr>
        <w:t>品不低于</w:t>
      </w:r>
      <w:r>
        <w:rPr>
          <w:rFonts w:hint="eastAsia" w:ascii="仿宋_GB2312" w:hAnsi="仿宋_GB2312" w:eastAsia="仿宋_GB2312" w:cs="仿宋_GB2312"/>
          <w:sz w:val="32"/>
          <w:szCs w:val="36"/>
          <w:highlight w:val="none"/>
          <w:lang w:val="en-US" w:eastAsia="zh-CN"/>
        </w:rPr>
        <w:t>1000</w:t>
      </w:r>
      <w:r>
        <w:rPr>
          <w:rFonts w:hint="default" w:ascii="仿宋_GB2312" w:hAnsi="仿宋_GB2312" w:eastAsia="仿宋_GB2312" w:cs="仿宋_GB2312"/>
          <w:sz w:val="32"/>
          <w:szCs w:val="36"/>
          <w:highlight w:val="none"/>
          <w:lang w:val="en-US" w:eastAsia="zh-CN"/>
        </w:rPr>
        <w:t>件</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活动持续时间不低于</w:t>
      </w:r>
      <w:r>
        <w:rPr>
          <w:rFonts w:hint="eastAsia" w:ascii="仿宋_GB2312" w:hAnsi="仿宋_GB2312" w:eastAsia="仿宋_GB2312" w:cs="仿宋_GB2312"/>
          <w:sz w:val="32"/>
          <w:szCs w:val="36"/>
          <w:highlight w:val="none"/>
          <w:lang w:val="en-US" w:eastAsia="zh-CN"/>
        </w:rPr>
        <w:t>3</w:t>
      </w:r>
      <w:r>
        <w:rPr>
          <w:rFonts w:hint="default" w:ascii="仿宋_GB2312" w:hAnsi="仿宋_GB2312" w:eastAsia="仿宋_GB2312" w:cs="仿宋_GB2312"/>
          <w:sz w:val="32"/>
          <w:szCs w:val="36"/>
          <w:highlight w:val="none"/>
          <w:lang w:val="en-US" w:eastAsia="zh-CN"/>
        </w:rPr>
        <w:t>天</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市内外主流媒体和专业媒体对活动参与宣传报道。</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b w:val="0"/>
          <w:bCs w:val="0"/>
          <w:sz w:val="32"/>
          <w:szCs w:val="36"/>
          <w:highlight w:val="none"/>
          <w:lang w:val="en-US" w:eastAsia="zh-CN"/>
        </w:rPr>
      </w:pP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lang w:val="en-US" w:eastAsia="zh-CN"/>
        </w:rPr>
        <w:t>三）</w:t>
      </w:r>
      <w:r>
        <w:rPr>
          <w:rFonts w:hint="eastAsia" w:ascii="仿宋_GB2312" w:hAnsi="仿宋_GB2312" w:eastAsia="仿宋_GB2312" w:cs="仿宋_GB2312"/>
          <w:sz w:val="32"/>
          <w:szCs w:val="36"/>
          <w:highlight w:val="none"/>
        </w:rPr>
        <w:t>审核方式：</w:t>
      </w:r>
      <w:r>
        <w:rPr>
          <w:rFonts w:hint="eastAsia" w:ascii="仿宋_GB2312" w:hAnsi="仿宋_GB2312" w:eastAsia="仿宋_GB2312" w:cs="仿宋_GB2312"/>
          <w:sz w:val="32"/>
          <w:szCs w:val="36"/>
          <w:highlight w:val="none"/>
          <w:lang w:eastAsia="zh-CN"/>
        </w:rPr>
        <w:t>事前备案，事后核准</w:t>
      </w:r>
      <w:r>
        <w:rPr>
          <w:rFonts w:hint="eastAsia" w:ascii="仿宋_GB2312" w:hAnsi="仿宋_GB2312" w:eastAsia="仿宋_GB2312" w:cs="仿宋_GB2312"/>
          <w:sz w:val="32"/>
          <w:szCs w:val="36"/>
          <w:highlight w:val="none"/>
        </w:rPr>
        <w:t>。以第三方专业服务机构</w:t>
      </w:r>
      <w:r>
        <w:rPr>
          <w:rFonts w:hint="eastAsia" w:ascii="仿宋_GB2312" w:hAnsi="仿宋_GB2312" w:eastAsia="仿宋_GB2312" w:cs="仿宋_GB2312"/>
          <w:sz w:val="32"/>
          <w:szCs w:val="36"/>
          <w:highlight w:val="none"/>
          <w:lang w:eastAsia="zh-CN"/>
        </w:rPr>
        <w:t>审计</w:t>
      </w:r>
      <w:r>
        <w:rPr>
          <w:rFonts w:hint="eastAsia" w:ascii="仿宋_GB2312" w:hAnsi="仿宋_GB2312" w:eastAsia="仿宋_GB2312" w:cs="仿宋_GB2312"/>
          <w:sz w:val="32"/>
          <w:szCs w:val="36"/>
          <w:highlight w:val="none"/>
        </w:rPr>
        <w:t>结果</w:t>
      </w:r>
      <w:r>
        <w:rPr>
          <w:rFonts w:hint="eastAsia" w:ascii="仿宋_GB2312" w:hAnsi="仿宋_GB2312" w:eastAsia="仿宋_GB2312" w:cs="仿宋_GB2312"/>
          <w:sz w:val="32"/>
          <w:szCs w:val="36"/>
          <w:highlight w:val="none"/>
          <w:lang w:eastAsia="zh-CN"/>
        </w:rPr>
        <w:t>等相关材料</w:t>
      </w:r>
      <w:r>
        <w:rPr>
          <w:rFonts w:hint="eastAsia" w:ascii="仿宋_GB2312" w:hAnsi="仿宋_GB2312" w:eastAsia="仿宋_GB2312" w:cs="仿宋_GB2312"/>
          <w:sz w:val="32"/>
          <w:szCs w:val="36"/>
          <w:highlight w:val="none"/>
        </w:rPr>
        <w:t>为</w:t>
      </w:r>
      <w:r>
        <w:rPr>
          <w:rFonts w:hint="eastAsia" w:ascii="仿宋_GB2312" w:hAnsi="仿宋_GB2312" w:eastAsia="仿宋_GB2312" w:cs="仿宋_GB2312"/>
          <w:sz w:val="32"/>
          <w:szCs w:val="36"/>
          <w:highlight w:val="none"/>
          <w:lang w:val="en-US" w:eastAsia="zh-CN"/>
        </w:rPr>
        <w:t>参考依据。</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rPr>
          <w:rFonts w:ascii="黑体" w:hAnsi="黑体" w:eastAsia="黑体" w:cs="Arial"/>
          <w:color w:val="auto"/>
          <w:sz w:val="32"/>
          <w:szCs w:val="32"/>
          <w:highlight w:val="none"/>
        </w:rPr>
      </w:pPr>
      <w:r>
        <w:rPr>
          <w:rFonts w:hint="eastAsia" w:ascii="黑体" w:hAnsi="黑体" w:eastAsia="黑体" w:cs="Arial"/>
          <w:color w:val="auto"/>
          <w:sz w:val="32"/>
          <w:szCs w:val="32"/>
          <w:highlight w:val="none"/>
        </w:rPr>
        <w:t>第</w:t>
      </w:r>
      <w:r>
        <w:rPr>
          <w:rFonts w:hint="eastAsia" w:ascii="黑体" w:hAnsi="黑体" w:eastAsia="黑体" w:cs="Arial"/>
          <w:color w:val="auto"/>
          <w:sz w:val="32"/>
          <w:szCs w:val="32"/>
          <w:highlight w:val="none"/>
          <w:lang w:val="en-US" w:eastAsia="zh-CN"/>
        </w:rPr>
        <w:t>三</w:t>
      </w:r>
      <w:r>
        <w:rPr>
          <w:rFonts w:hint="eastAsia" w:ascii="黑体" w:hAnsi="黑体" w:eastAsia="黑体" w:cs="Arial"/>
          <w:color w:val="auto"/>
          <w:sz w:val="32"/>
          <w:szCs w:val="32"/>
          <w:highlight w:val="none"/>
        </w:rPr>
        <w:t>章  申报条件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6"/>
          <w:highlight w:val="none"/>
        </w:rPr>
      </w:pPr>
      <w:r>
        <w:rPr>
          <w:rFonts w:hint="eastAsia" w:ascii="楷体_GB2312" w:hAnsi="楷体_GB2312" w:eastAsia="楷体_GB2312" w:cs="楷体_GB2312"/>
          <w:b w:val="0"/>
          <w:bCs w:val="0"/>
          <w:sz w:val="32"/>
          <w:szCs w:val="36"/>
          <w:highlight w:val="none"/>
        </w:rPr>
        <w:t>第</w:t>
      </w:r>
      <w:r>
        <w:rPr>
          <w:rFonts w:hint="eastAsia" w:ascii="楷体_GB2312" w:hAnsi="楷体_GB2312" w:eastAsia="楷体_GB2312" w:cs="楷体_GB2312"/>
          <w:b w:val="0"/>
          <w:bCs w:val="0"/>
          <w:sz w:val="32"/>
          <w:szCs w:val="36"/>
          <w:highlight w:val="none"/>
          <w:lang w:val="en-US" w:eastAsia="zh-CN"/>
        </w:rPr>
        <w:t>十五</w:t>
      </w:r>
      <w:r>
        <w:rPr>
          <w:rFonts w:hint="eastAsia" w:ascii="楷体_GB2312" w:hAnsi="楷体_GB2312" w:eastAsia="楷体_GB2312" w:cs="楷体_GB2312"/>
          <w:b w:val="0"/>
          <w:bCs w:val="0"/>
          <w:sz w:val="32"/>
          <w:szCs w:val="36"/>
          <w:highlight w:val="none"/>
        </w:rPr>
        <w:t xml:space="preserve">条 </w:t>
      </w:r>
      <w:r>
        <w:rPr>
          <w:rFonts w:hint="eastAsia" w:ascii="楷体_GB2312" w:hAnsi="楷体_GB2312" w:eastAsia="楷体_GB2312" w:cs="楷体_GB2312"/>
          <w:sz w:val="32"/>
          <w:szCs w:val="36"/>
          <w:highlight w:val="none"/>
          <w:lang w:eastAsia="zh-CN"/>
        </w:rPr>
        <w:t>申报</w:t>
      </w:r>
      <w:r>
        <w:rPr>
          <w:rFonts w:hint="eastAsia" w:ascii="楷体_GB2312" w:hAnsi="楷体_GB2312" w:eastAsia="楷体_GB2312" w:cs="楷体_GB2312"/>
          <w:sz w:val="32"/>
          <w:szCs w:val="36"/>
          <w:highlight w:val="none"/>
        </w:rPr>
        <w:t>单位</w:t>
      </w:r>
      <w:r>
        <w:rPr>
          <w:rFonts w:hint="eastAsia" w:ascii="楷体_GB2312" w:hAnsi="楷体_GB2312" w:eastAsia="楷体_GB2312" w:cs="楷体_GB2312"/>
          <w:b w:val="0"/>
          <w:bCs w:val="0"/>
          <w:sz w:val="32"/>
          <w:szCs w:val="36"/>
          <w:highlight w:val="none"/>
        </w:rPr>
        <w:t>需符合下列基础条件：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（一）申报单位是在龙岗区实际经营，并且符合要求的法人企业或民办非企业单位、行业协会，分支机构申请的，应同时提供总公司的授权证明文件；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w:t>
      </w:r>
      <w:r>
        <w:rPr>
          <w:rFonts w:hint="eastAsia" w:ascii="仿宋_GB2312" w:hAnsi="仿宋_GB2312" w:eastAsia="仿宋_GB2312" w:cs="仿宋_GB2312"/>
          <w:sz w:val="32"/>
          <w:szCs w:val="36"/>
          <w:highlight w:val="none"/>
          <w:lang w:val="en-US" w:eastAsia="zh-CN"/>
        </w:rPr>
        <w:t>二</w:t>
      </w:r>
      <w:r>
        <w:rPr>
          <w:rFonts w:hint="eastAsia" w:ascii="仿宋_GB2312" w:hAnsi="仿宋_GB2312" w:eastAsia="仿宋_GB2312" w:cs="仿宋_GB2312"/>
          <w:sz w:val="32"/>
          <w:szCs w:val="36"/>
          <w:highlight w:val="none"/>
        </w:rPr>
        <w:t>）</w:t>
      </w:r>
      <w:r>
        <w:rPr>
          <w:rFonts w:hint="eastAsia" w:ascii="仿宋_GB2312" w:hAnsi="仿宋_GB2312" w:eastAsia="仿宋_GB2312" w:cs="仿宋_GB2312"/>
          <w:sz w:val="32"/>
          <w:szCs w:val="36"/>
          <w:highlight w:val="none"/>
          <w:lang w:eastAsia="zh-CN"/>
        </w:rPr>
        <w:t>申报</w:t>
      </w:r>
      <w:r>
        <w:rPr>
          <w:rFonts w:hint="eastAsia" w:ascii="仿宋_GB2312" w:hAnsi="仿宋_GB2312" w:eastAsia="仿宋_GB2312" w:cs="仿宋_GB2312"/>
          <w:sz w:val="32"/>
          <w:szCs w:val="36"/>
          <w:highlight w:val="none"/>
        </w:rPr>
        <w:t>单位未被依法依规列入严重失信主体名单且在有效期内；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w:t>
      </w:r>
      <w:r>
        <w:rPr>
          <w:rFonts w:hint="eastAsia" w:ascii="仿宋_GB2312" w:hAnsi="仿宋_GB2312" w:eastAsia="仿宋_GB2312" w:cs="仿宋_GB2312"/>
          <w:sz w:val="32"/>
          <w:szCs w:val="36"/>
          <w:highlight w:val="none"/>
          <w:lang w:val="en-US" w:eastAsia="zh-CN"/>
        </w:rPr>
        <w:t>三</w:t>
      </w:r>
      <w:r>
        <w:rPr>
          <w:rFonts w:hint="eastAsia" w:ascii="仿宋_GB2312" w:hAnsi="仿宋_GB2312" w:eastAsia="仿宋_GB2312" w:cs="仿宋_GB2312"/>
          <w:sz w:val="32"/>
          <w:szCs w:val="36"/>
          <w:highlight w:val="none"/>
        </w:rPr>
        <w:t>）</w:t>
      </w:r>
      <w:r>
        <w:rPr>
          <w:rFonts w:hint="eastAsia" w:ascii="仿宋_GB2312" w:hAnsi="仿宋_GB2312" w:eastAsia="仿宋_GB2312" w:cs="仿宋_GB2312"/>
          <w:sz w:val="32"/>
          <w:szCs w:val="36"/>
          <w:highlight w:val="none"/>
          <w:lang w:eastAsia="zh-CN"/>
        </w:rPr>
        <w:t>申报</w:t>
      </w:r>
      <w:r>
        <w:rPr>
          <w:rFonts w:hint="eastAsia" w:ascii="仿宋_GB2312" w:hAnsi="仿宋_GB2312" w:eastAsia="仿宋_GB2312" w:cs="仿宋_GB2312"/>
          <w:sz w:val="32"/>
          <w:szCs w:val="36"/>
          <w:highlight w:val="none"/>
        </w:rPr>
        <w:t>单位对申报材料的真实性、合法性和完整性负责，不得弄虚作假、套取、骗取专项资金，对违反规定获取专项资金的企业，龙岗区有权追回相关款项；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w:t>
      </w:r>
      <w:r>
        <w:rPr>
          <w:rFonts w:hint="eastAsia" w:ascii="仿宋_GB2312" w:hAnsi="仿宋_GB2312" w:eastAsia="仿宋_GB2312" w:cs="仿宋_GB2312"/>
          <w:sz w:val="32"/>
          <w:szCs w:val="36"/>
          <w:highlight w:val="none"/>
          <w:lang w:val="en-US" w:eastAsia="zh-CN"/>
        </w:rPr>
        <w:t>四</w:t>
      </w:r>
      <w:r>
        <w:rPr>
          <w:rFonts w:hint="eastAsia" w:ascii="仿宋_GB2312" w:hAnsi="仿宋_GB2312" w:eastAsia="仿宋_GB2312" w:cs="仿宋_GB2312"/>
          <w:sz w:val="32"/>
          <w:szCs w:val="36"/>
          <w:highlight w:val="none"/>
        </w:rPr>
        <w:t>）</w:t>
      </w:r>
      <w:r>
        <w:rPr>
          <w:rFonts w:hint="eastAsia" w:ascii="仿宋_GB2312" w:hAnsi="仿宋_GB2312" w:eastAsia="仿宋_GB2312" w:cs="仿宋_GB2312"/>
          <w:sz w:val="32"/>
          <w:szCs w:val="36"/>
          <w:highlight w:val="none"/>
          <w:lang w:eastAsia="zh-CN"/>
        </w:rPr>
        <w:t>申报</w:t>
      </w:r>
      <w:r>
        <w:rPr>
          <w:rFonts w:hint="eastAsia" w:ascii="仿宋_GB2312" w:hAnsi="仿宋_GB2312" w:eastAsia="仿宋_GB2312" w:cs="仿宋_GB2312"/>
          <w:sz w:val="32"/>
          <w:szCs w:val="36"/>
          <w:highlight w:val="none"/>
        </w:rPr>
        <w:t>单位不得以同一事项重复申报或者多头申报区级专项资金，同一项目因政策允许可申报多项专项资金的，应当在申报材料中予以明确；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w:t>
      </w:r>
      <w:r>
        <w:rPr>
          <w:rFonts w:hint="eastAsia" w:ascii="仿宋_GB2312" w:hAnsi="仿宋_GB2312" w:eastAsia="仿宋_GB2312" w:cs="仿宋_GB2312"/>
          <w:sz w:val="32"/>
          <w:szCs w:val="36"/>
          <w:highlight w:val="none"/>
          <w:lang w:val="en-US" w:eastAsia="zh-CN"/>
        </w:rPr>
        <w:t>五</w:t>
      </w:r>
      <w:r>
        <w:rPr>
          <w:rFonts w:hint="eastAsia" w:ascii="仿宋_GB2312" w:hAnsi="仿宋_GB2312" w:eastAsia="仿宋_GB2312" w:cs="仿宋_GB2312"/>
          <w:sz w:val="32"/>
          <w:szCs w:val="36"/>
          <w:highlight w:val="none"/>
        </w:rPr>
        <w:t>）法律、法规、规章和上级行政机关规范性文件规定的其他条件。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z w:val="32"/>
          <w:szCs w:val="36"/>
          <w:highlight w:val="none"/>
          <w:lang w:val="en-US" w:eastAsia="zh-CN"/>
        </w:rPr>
      </w:pPr>
      <w:r>
        <w:rPr>
          <w:rFonts w:hint="eastAsia" w:ascii="楷体_GB2312" w:hAnsi="楷体_GB2312" w:eastAsia="楷体_GB2312" w:cs="楷体_GB2312"/>
          <w:b w:val="0"/>
          <w:bCs w:val="0"/>
          <w:sz w:val="32"/>
          <w:szCs w:val="36"/>
          <w:highlight w:val="none"/>
        </w:rPr>
        <w:t>第</w:t>
      </w:r>
      <w:r>
        <w:rPr>
          <w:rFonts w:hint="eastAsia" w:ascii="楷体_GB2312" w:hAnsi="楷体_GB2312" w:eastAsia="楷体_GB2312" w:cs="楷体_GB2312"/>
          <w:b w:val="0"/>
          <w:bCs w:val="0"/>
          <w:sz w:val="32"/>
          <w:szCs w:val="36"/>
          <w:highlight w:val="none"/>
          <w:lang w:eastAsia="zh-CN"/>
        </w:rPr>
        <w:t>十六</w:t>
      </w:r>
      <w:r>
        <w:rPr>
          <w:rFonts w:hint="eastAsia" w:ascii="楷体_GB2312" w:hAnsi="楷体_GB2312" w:eastAsia="楷体_GB2312" w:cs="楷体_GB2312"/>
          <w:b w:val="0"/>
          <w:bCs w:val="0"/>
          <w:sz w:val="32"/>
          <w:szCs w:val="36"/>
          <w:highlight w:val="none"/>
        </w:rPr>
        <w:t>条</w:t>
      </w:r>
      <w:r>
        <w:rPr>
          <w:rFonts w:hint="eastAsia" w:ascii="楷体_GB2312" w:hAnsi="楷体_GB2312" w:eastAsia="楷体_GB2312" w:cs="楷体_GB2312"/>
          <w:b w:val="0"/>
          <w:bCs w:val="0"/>
          <w:sz w:val="32"/>
          <w:szCs w:val="36"/>
          <w:highlight w:val="none"/>
          <w:lang w:val="en-US" w:eastAsia="zh-CN"/>
        </w:rPr>
        <w:t xml:space="preserve"> </w:t>
      </w:r>
      <w:r>
        <w:rPr>
          <w:rFonts w:hint="eastAsia" w:ascii="仿宋_GB2312" w:hAnsi="仿宋_GB2312" w:eastAsia="仿宋_GB2312" w:cs="仿宋_GB2312"/>
          <w:sz w:val="32"/>
          <w:szCs w:val="36"/>
          <w:highlight w:val="none"/>
          <w:lang w:val="en-US" w:eastAsia="zh-CN"/>
        </w:rPr>
        <w:t>本</w:t>
      </w:r>
      <w:r>
        <w:rPr>
          <w:rFonts w:hint="eastAsia" w:ascii="仿宋_GB2312" w:hAnsi="仿宋_GB2312" w:eastAsia="仿宋_GB2312" w:cs="仿宋_GB2312"/>
          <w:sz w:val="32"/>
          <w:szCs w:val="36"/>
          <w:highlight w:val="none"/>
        </w:rPr>
        <w:t>实施细则</w:t>
      </w:r>
      <w:r>
        <w:rPr>
          <w:rFonts w:hint="eastAsia" w:ascii="仿宋_GB2312" w:hAnsi="仿宋_GB2312" w:eastAsia="仿宋_GB2312" w:cs="仿宋_GB2312"/>
          <w:sz w:val="32"/>
          <w:szCs w:val="36"/>
          <w:highlight w:val="none"/>
          <w:lang w:val="en-US" w:eastAsia="zh-CN"/>
        </w:rPr>
        <w:t>所称人工智能，是指利用计算机或者其控制的设备，通过对收集的外部数据进行学习、分析，感知环境、获取知识、推导演绎，研究、开发用于模拟、延伸和扩展人的智能的理论、方法、技术以及应用的能力。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rPr>
        <w:t>第</w:t>
      </w:r>
      <w:r>
        <w:rPr>
          <w:rFonts w:hint="eastAsia" w:ascii="楷体_GB2312" w:hAnsi="楷体_GB2312" w:eastAsia="楷体_GB2312" w:cs="楷体_GB2312"/>
          <w:b w:val="0"/>
          <w:bCs w:val="0"/>
          <w:sz w:val="32"/>
          <w:szCs w:val="36"/>
          <w:highlight w:val="none"/>
          <w:lang w:eastAsia="zh-CN"/>
        </w:rPr>
        <w:t>十七</w:t>
      </w:r>
      <w:r>
        <w:rPr>
          <w:rFonts w:hint="eastAsia" w:ascii="楷体_GB2312" w:hAnsi="楷体_GB2312" w:eastAsia="楷体_GB2312" w:cs="楷体_GB2312"/>
          <w:b w:val="0"/>
          <w:bCs w:val="0"/>
          <w:sz w:val="32"/>
          <w:szCs w:val="36"/>
          <w:highlight w:val="none"/>
        </w:rPr>
        <w:t>条</w:t>
      </w:r>
      <w:r>
        <w:rPr>
          <w:rFonts w:hint="eastAsia" w:ascii="楷体_GB2312" w:hAnsi="楷体_GB2312" w:eastAsia="楷体_GB2312" w:cs="楷体_GB2312"/>
          <w:sz w:val="32"/>
          <w:szCs w:val="36"/>
          <w:highlight w:val="none"/>
        </w:rPr>
        <w:t xml:space="preserve"> </w:t>
      </w:r>
      <w:r>
        <w:rPr>
          <w:rFonts w:hint="eastAsia" w:ascii="仿宋_GB2312" w:hAnsi="仿宋_GB2312" w:eastAsia="仿宋_GB2312" w:cs="仿宋_GB2312"/>
          <w:sz w:val="32"/>
          <w:szCs w:val="36"/>
          <w:highlight w:val="none"/>
          <w:lang w:val="en-US" w:eastAsia="zh-CN"/>
        </w:rPr>
        <w:t>本</w:t>
      </w:r>
      <w:r>
        <w:rPr>
          <w:rFonts w:hint="eastAsia" w:ascii="仿宋_GB2312" w:hAnsi="仿宋_GB2312" w:eastAsia="仿宋_GB2312" w:cs="仿宋_GB2312"/>
          <w:sz w:val="32"/>
          <w:szCs w:val="36"/>
          <w:highlight w:val="none"/>
        </w:rPr>
        <w:t>实施细则</w:t>
      </w:r>
      <w:r>
        <w:rPr>
          <w:rFonts w:hint="eastAsia" w:ascii="仿宋_GB2312" w:hAnsi="仿宋_GB2312" w:eastAsia="仿宋_GB2312" w:cs="仿宋_GB2312"/>
          <w:sz w:val="32"/>
          <w:szCs w:val="36"/>
          <w:highlight w:val="none"/>
          <w:lang w:val="en-US" w:eastAsia="zh-CN"/>
        </w:rPr>
        <w:t>中，人工智能企业适用于在龙岗区依法从事经营活动的企业，同时</w:t>
      </w:r>
      <w:r>
        <w:rPr>
          <w:rFonts w:hint="eastAsia" w:ascii="仿宋_GB2312" w:hAnsi="仿宋_GB2312" w:eastAsia="仿宋_GB2312" w:cs="仿宋_GB2312"/>
          <w:sz w:val="32"/>
          <w:szCs w:val="36"/>
          <w:highlight w:val="none"/>
        </w:rPr>
        <w:t>需符合以下条件：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一）小微企业上一年度人工智能业务收入占总业务收入的50%以上。中型及大型企业上一年度人工智能业务收入占总业务收入的30%（含）以上。大中小微企业的划分按照《统计上大中小微型企业划分办法（2017）》中“软件和信息技术服务业”及“工业”划分标准执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二</w:t>
      </w:r>
      <w:r>
        <w:rPr>
          <w:rFonts w:hint="eastAsia" w:ascii="仿宋_GB2312" w:hAnsi="仿宋_GB2312" w:eastAsia="仿宋_GB2312" w:cs="仿宋_GB2312"/>
          <w:sz w:val="32"/>
          <w:szCs w:val="36"/>
          <w:highlight w:val="none"/>
          <w:lang w:val="en-US" w:eastAsia="zh-CN"/>
        </w:rPr>
        <w:t>）</w:t>
      </w:r>
      <w:r>
        <w:rPr>
          <w:rFonts w:hint="eastAsia" w:ascii="仿宋_GB2312" w:hAnsi="仿宋_GB2312" w:eastAsia="仿宋_GB2312" w:cs="仿宋_GB2312"/>
          <w:sz w:val="32"/>
          <w:szCs w:val="36"/>
          <w:highlight w:val="none"/>
        </w:rPr>
        <w:t>企业主营业务在下列或相关范围内：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1.人工智能软件。包括计算机视觉软件、智能语音处理软件、自然语言理解软件、生物特征识别软件、虚拟现实/增强现实软件等。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2.人工智能服务。包括机器学习服务、计算机视觉服务、智能语音处理服务、自然语言理解服务、生物特征识别服务、人工智能集成解决方案等。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3.人工智能产品。包括人工智能芯片、人工智能传感器、智能机器人、智能运载工具、虚拟现实/增强现实设备、智能可穿戴设备等。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楷体_GB2312" w:hAnsi="楷体_GB2312" w:eastAsia="楷体_GB2312" w:cs="楷体_GB2312"/>
          <w:b w:val="0"/>
          <w:bCs w:val="0"/>
          <w:sz w:val="32"/>
          <w:szCs w:val="36"/>
          <w:highlight w:val="none"/>
        </w:rPr>
        <w:t>第</w:t>
      </w:r>
      <w:r>
        <w:rPr>
          <w:rFonts w:hint="eastAsia" w:ascii="楷体_GB2312" w:hAnsi="楷体_GB2312" w:eastAsia="楷体_GB2312" w:cs="楷体_GB2312"/>
          <w:b w:val="0"/>
          <w:bCs w:val="0"/>
          <w:sz w:val="32"/>
          <w:szCs w:val="36"/>
          <w:highlight w:val="none"/>
          <w:lang w:val="en-US" w:eastAsia="zh-CN"/>
        </w:rPr>
        <w:t>十八</w:t>
      </w:r>
      <w:r>
        <w:rPr>
          <w:rFonts w:hint="eastAsia" w:ascii="楷体_GB2312" w:hAnsi="楷体_GB2312" w:eastAsia="楷体_GB2312" w:cs="楷体_GB2312"/>
          <w:b w:val="0"/>
          <w:bCs w:val="0"/>
          <w:sz w:val="32"/>
          <w:szCs w:val="36"/>
          <w:highlight w:val="none"/>
        </w:rPr>
        <w:t>条</w:t>
      </w:r>
      <w:r>
        <w:rPr>
          <w:rFonts w:hint="eastAsia" w:ascii="楷体_GB2312" w:hAnsi="楷体_GB2312" w:eastAsia="楷体_GB2312" w:cs="楷体_GB2312"/>
          <w:sz w:val="32"/>
          <w:szCs w:val="36"/>
          <w:highlight w:val="none"/>
        </w:rPr>
        <w:t xml:space="preserve"> </w:t>
      </w:r>
      <w:r>
        <w:rPr>
          <w:rFonts w:hint="eastAsia" w:ascii="仿宋_GB2312" w:hAnsi="仿宋_GB2312" w:eastAsia="仿宋_GB2312" w:cs="仿宋_GB2312"/>
          <w:sz w:val="32"/>
          <w:szCs w:val="36"/>
          <w:highlight w:val="none"/>
          <w:lang w:val="en-US" w:eastAsia="zh-CN"/>
        </w:rPr>
        <w:t>本</w:t>
      </w:r>
      <w:r>
        <w:rPr>
          <w:rFonts w:hint="eastAsia" w:ascii="仿宋_GB2312" w:hAnsi="仿宋_GB2312" w:eastAsia="仿宋_GB2312" w:cs="仿宋_GB2312"/>
          <w:sz w:val="32"/>
          <w:szCs w:val="36"/>
          <w:highlight w:val="none"/>
        </w:rPr>
        <w:t>实施细则</w:t>
      </w:r>
      <w:r>
        <w:rPr>
          <w:rFonts w:hint="eastAsia" w:ascii="仿宋_GB2312" w:hAnsi="仿宋_GB2312" w:eastAsia="仿宋_GB2312" w:cs="仿宋_GB2312"/>
          <w:sz w:val="32"/>
          <w:szCs w:val="36"/>
          <w:highlight w:val="none"/>
          <w:lang w:eastAsia="zh-CN"/>
        </w:rPr>
        <w:t>第十条</w:t>
      </w:r>
      <w:r>
        <w:rPr>
          <w:rFonts w:hint="eastAsia" w:ascii="仿宋_GB2312" w:hAnsi="仿宋_GB2312" w:eastAsia="仿宋_GB2312" w:cs="仿宋_GB2312"/>
          <w:sz w:val="32"/>
          <w:szCs w:val="36"/>
          <w:highlight w:val="none"/>
          <w:lang w:val="en-US" w:eastAsia="zh-CN"/>
        </w:rPr>
        <w:t>中，优势传统产业企业，行业代码需符合《国民经济行业分类(GBT4754-2017)》中眼镜制造（国民经济行业分类代码前四位为3587）、珠宝首饰及有关物品制造（国民经济行业分类代码前四位为2438）、钟表与计时仪器制造（国民经济行业分类代码前四位为4030）、家具制造业（国民经济行业分类代码前两位为21）、玩具制造（国民经济行业分类代码前三位为245）。电子消费产品企业，行业代码需符合《国民经济行业分类(GBT4754-2017)》中非专业视听设备制造（国民经济行业分类代码前三位为395）、智能消费设备制造（国民经济行业分类代码前三位为396）。</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楷体_GB2312" w:hAnsi="楷体_GB2312" w:eastAsia="楷体_GB2312" w:cs="楷体_GB2312"/>
          <w:sz w:val="32"/>
          <w:szCs w:val="36"/>
          <w:highlight w:val="none"/>
          <w:lang w:val="en-US" w:eastAsia="zh-CN"/>
        </w:rPr>
        <w:t xml:space="preserve">第十九条 </w:t>
      </w:r>
      <w:r>
        <w:rPr>
          <w:rFonts w:hint="eastAsia" w:ascii="仿宋_GB2312" w:hAnsi="仿宋_GB2312" w:eastAsia="仿宋_GB2312" w:cs="仿宋_GB2312"/>
          <w:sz w:val="32"/>
          <w:szCs w:val="36"/>
          <w:highlight w:val="none"/>
          <w:lang w:val="en-US" w:eastAsia="zh-CN"/>
        </w:rPr>
        <w:t>本实施细则中的行业协会是指依照《深圳经济特区行业协会条例》依法设立的非营利性社会团体法人。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楷体_GB2312" w:hAnsi="楷体_GB2312" w:eastAsia="楷体_GB2312" w:cs="楷体_GB2312"/>
          <w:sz w:val="32"/>
          <w:szCs w:val="36"/>
          <w:highlight w:val="none"/>
          <w:lang w:val="en-US" w:eastAsia="zh-CN"/>
        </w:rPr>
        <w:t xml:space="preserve">第二十条 </w:t>
      </w:r>
      <w:r>
        <w:rPr>
          <w:rFonts w:hint="eastAsia" w:ascii="仿宋_GB2312" w:hAnsi="仿宋_GB2312" w:eastAsia="仿宋_GB2312" w:cs="仿宋_GB2312"/>
          <w:sz w:val="32"/>
          <w:szCs w:val="36"/>
          <w:highlight w:val="none"/>
          <w:lang w:val="en-US" w:eastAsia="zh-CN"/>
        </w:rPr>
        <w:t>本实施细则中的软件企业，行业代码需符合《国民经济行业分类</w:t>
      </w:r>
      <w:r>
        <w:rPr>
          <w:rFonts w:hint="eastAsia" w:ascii="仿宋_GB2312" w:hAnsi="仿宋_GB2312" w:eastAsia="仿宋_GB2312" w:cs="仿宋_GB2312"/>
          <w:color w:val="auto"/>
          <w:sz w:val="32"/>
          <w:szCs w:val="32"/>
          <w:highlight w:val="none"/>
        </w:rPr>
        <w:t>(GBT4754-2017)</w:t>
      </w:r>
      <w:r>
        <w:rPr>
          <w:rFonts w:hint="eastAsia" w:ascii="仿宋_GB2312" w:hAnsi="仿宋_GB2312" w:eastAsia="仿宋_GB2312" w:cs="仿宋_GB2312"/>
          <w:sz w:val="32"/>
          <w:szCs w:val="36"/>
          <w:highlight w:val="none"/>
          <w:lang w:val="en-US" w:eastAsia="zh-CN"/>
        </w:rPr>
        <w:t>》中互联网和相关服务（国民经济行业分类代码前两位为64）、软件和信息技术服务（国民经济行业分类代码前两位为65）。</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楷体_GB2312" w:hAnsi="楷体_GB2312" w:eastAsia="楷体_GB2312" w:cs="楷体_GB2312"/>
          <w:sz w:val="32"/>
          <w:szCs w:val="36"/>
          <w:highlight w:val="none"/>
          <w:lang w:val="en-US" w:eastAsia="zh-CN"/>
        </w:rPr>
        <w:t xml:space="preserve">第二十一条 </w:t>
      </w:r>
      <w:r>
        <w:rPr>
          <w:rFonts w:hint="eastAsia" w:ascii="仿宋_GB2312" w:hAnsi="仿宋_GB2312" w:eastAsia="仿宋_GB2312" w:cs="仿宋_GB2312"/>
          <w:sz w:val="32"/>
          <w:szCs w:val="36"/>
          <w:highlight w:val="none"/>
          <w:lang w:val="en-US" w:eastAsia="zh-CN"/>
        </w:rPr>
        <w:t>本实施细则第四条、第五条和第八条中，非关联方</w:t>
      </w:r>
      <w:r>
        <w:rPr>
          <w:rFonts w:hint="default" w:ascii="仿宋_GB2312" w:hAnsi="仿宋_GB2312" w:eastAsia="仿宋_GB2312" w:cs="仿宋_GB2312"/>
          <w:sz w:val="32"/>
          <w:szCs w:val="36"/>
          <w:highlight w:val="none"/>
          <w:lang w:val="en-US" w:eastAsia="zh-CN"/>
        </w:rPr>
        <w:t>是指与</w:t>
      </w:r>
      <w:r>
        <w:rPr>
          <w:rFonts w:hint="eastAsia" w:ascii="仿宋_GB2312" w:hAnsi="仿宋_GB2312" w:eastAsia="仿宋_GB2312" w:cs="仿宋_GB2312"/>
          <w:sz w:val="32"/>
          <w:szCs w:val="36"/>
          <w:highlight w:val="none"/>
          <w:lang w:val="en-US" w:eastAsia="zh-CN"/>
        </w:rPr>
        <w:t>申报单位不存在</w:t>
      </w:r>
      <w:r>
        <w:rPr>
          <w:rFonts w:hint="default" w:ascii="仿宋_GB2312" w:hAnsi="仿宋_GB2312" w:eastAsia="仿宋_GB2312" w:cs="仿宋_GB2312"/>
          <w:sz w:val="32"/>
          <w:szCs w:val="36"/>
          <w:highlight w:val="none"/>
          <w:lang w:val="en-US" w:eastAsia="zh-CN"/>
        </w:rPr>
        <w:t>下列</w:t>
      </w:r>
      <w:r>
        <w:rPr>
          <w:rFonts w:hint="eastAsia" w:ascii="仿宋_GB2312" w:hAnsi="仿宋_GB2312" w:eastAsia="仿宋_GB2312" w:cs="仿宋_GB2312"/>
          <w:sz w:val="32"/>
          <w:szCs w:val="36"/>
          <w:highlight w:val="none"/>
          <w:lang w:val="en-US" w:eastAsia="zh-CN"/>
        </w:rPr>
        <w:t>任何</w:t>
      </w:r>
      <w:r>
        <w:rPr>
          <w:rFonts w:hint="default" w:ascii="仿宋_GB2312" w:hAnsi="仿宋_GB2312" w:eastAsia="仿宋_GB2312" w:cs="仿宋_GB2312"/>
          <w:sz w:val="32"/>
          <w:szCs w:val="36"/>
          <w:highlight w:val="none"/>
          <w:lang w:val="en-US" w:eastAsia="zh-CN"/>
        </w:rPr>
        <w:t>关联关系的企业、其他组织或者个人：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（一）</w:t>
      </w:r>
      <w:r>
        <w:rPr>
          <w:rFonts w:hint="default" w:ascii="仿宋_GB2312" w:hAnsi="仿宋_GB2312" w:eastAsia="仿宋_GB2312" w:cs="仿宋_GB2312"/>
          <w:sz w:val="32"/>
          <w:szCs w:val="36"/>
          <w:highlight w:val="none"/>
          <w:lang w:val="en-US" w:eastAsia="zh-CN"/>
        </w:rPr>
        <w:t>在资金、经营、购销等方面存在直接或者间接的控制关系</w:t>
      </w:r>
      <w:r>
        <w:rPr>
          <w:rFonts w:hint="eastAsia" w:ascii="仿宋_GB2312" w:hAnsi="仿宋_GB2312" w:eastAsia="仿宋_GB2312" w:cs="仿宋_GB2312"/>
          <w:sz w:val="32"/>
          <w:szCs w:val="36"/>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（二）</w:t>
      </w:r>
      <w:r>
        <w:rPr>
          <w:rFonts w:hint="default" w:ascii="仿宋_GB2312" w:hAnsi="仿宋_GB2312" w:eastAsia="仿宋_GB2312" w:cs="仿宋_GB2312"/>
          <w:sz w:val="32"/>
          <w:szCs w:val="36"/>
          <w:highlight w:val="none"/>
          <w:lang w:val="en-US" w:eastAsia="zh-CN"/>
        </w:rPr>
        <w:t>直接或者间接地同为第三者控制</w:t>
      </w:r>
      <w:r>
        <w:rPr>
          <w:rFonts w:hint="eastAsia" w:ascii="仿宋_GB2312" w:hAnsi="仿宋_GB2312" w:eastAsia="仿宋_GB2312" w:cs="仿宋_GB2312"/>
          <w:sz w:val="32"/>
          <w:szCs w:val="36"/>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（三）</w:t>
      </w:r>
      <w:r>
        <w:rPr>
          <w:rFonts w:hint="default" w:ascii="仿宋_GB2312" w:hAnsi="仿宋_GB2312" w:eastAsia="仿宋_GB2312" w:cs="仿宋_GB2312"/>
          <w:sz w:val="32"/>
          <w:szCs w:val="36"/>
          <w:highlight w:val="none"/>
          <w:lang w:val="en-US" w:eastAsia="zh-CN"/>
        </w:rPr>
        <w:t>在利益上具有相关联的其他关系。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6"/>
          <w:highlight w:val="none"/>
          <w:lang w:val="en-US" w:eastAsia="zh-CN"/>
        </w:rPr>
      </w:pPr>
      <w:r>
        <w:rPr>
          <w:rFonts w:hint="eastAsia" w:ascii="楷体_GB2312" w:hAnsi="楷体_GB2312" w:eastAsia="楷体_GB2312" w:cs="楷体_GB2312"/>
          <w:sz w:val="32"/>
          <w:szCs w:val="36"/>
          <w:highlight w:val="none"/>
          <w:lang w:val="en-US" w:eastAsia="zh-CN"/>
        </w:rPr>
        <w:t xml:space="preserve">第二十二条 </w:t>
      </w:r>
      <w:r>
        <w:rPr>
          <w:rFonts w:hint="eastAsia" w:ascii="仿宋_GB2312" w:hAnsi="仿宋_GB2312" w:eastAsia="仿宋_GB2312" w:cs="仿宋_GB2312"/>
          <w:sz w:val="32"/>
          <w:szCs w:val="36"/>
          <w:highlight w:val="none"/>
          <w:lang w:val="en-US" w:eastAsia="zh-CN"/>
        </w:rPr>
        <w:t>本实施细则第五条中，</w:t>
      </w:r>
      <w:r>
        <w:rPr>
          <w:rFonts w:hint="default" w:ascii="仿宋_GB2312" w:hAnsi="仿宋_GB2312" w:eastAsia="仿宋_GB2312" w:cs="仿宋_GB2312"/>
          <w:sz w:val="32"/>
          <w:szCs w:val="36"/>
          <w:highlight w:val="none"/>
          <w:lang w:val="en-US" w:eastAsia="zh-CN"/>
        </w:rPr>
        <w:t>数据交易平台是指2024年5月，</w:t>
      </w:r>
      <w:r>
        <w:rPr>
          <w:rFonts w:hint="eastAsia" w:ascii="仿宋_GB2312" w:hAnsi="仿宋_GB2312" w:eastAsia="仿宋_GB2312" w:cs="仿宋_GB2312"/>
          <w:sz w:val="32"/>
          <w:szCs w:val="36"/>
          <w:highlight w:val="none"/>
          <w:lang w:val="en-US" w:eastAsia="zh-CN"/>
        </w:rPr>
        <w:t>由国家数据局推动并</w:t>
      </w:r>
      <w:r>
        <w:rPr>
          <w:rFonts w:hint="default" w:ascii="仿宋_GB2312" w:hAnsi="仿宋_GB2312" w:eastAsia="仿宋_GB2312" w:cs="仿宋_GB2312"/>
          <w:sz w:val="32"/>
          <w:szCs w:val="36"/>
          <w:highlight w:val="none"/>
          <w:lang w:val="en-US" w:eastAsia="zh-CN"/>
        </w:rPr>
        <w:t>联合发布《数据交易机构互认互通倡议》的24家数据交易机构，包括北京国际大数据交易所、北方大数据交易中心、上海数据交易所、苏州大数据交易所、华东江苏大数据交易中心、江苏无锡大数据交易有限公司、宿迁市数据交易中心、浙江大数据交易中心、杭州数据交易所、温州数据交易中心、福建大数据交易所、江西省数据交易平台、青岛大数据交易中心、山东数据交易有限公司、郑州数据交易中心、武汉长江大数据交易中心、湖南大数据交易所、广州数据交易所、深圳数据交易所、广西北部湾大数据交易中心、海南数据产品超市、西部数据交易中心、德阳大数据交易所、贵阳大数据交易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楷体_GB2312" w:hAnsi="楷体_GB2312" w:eastAsia="楷体_GB2312" w:cs="楷体_GB2312"/>
          <w:sz w:val="32"/>
          <w:szCs w:val="36"/>
          <w:highlight w:val="none"/>
          <w:lang w:val="en-US" w:eastAsia="zh-CN"/>
        </w:rPr>
        <w:t xml:space="preserve">第二十三条 </w:t>
      </w:r>
      <w:r>
        <w:rPr>
          <w:rFonts w:hint="eastAsia" w:ascii="仿宋_GB2312" w:hAnsi="仿宋_GB2312" w:eastAsia="仿宋_GB2312" w:cs="仿宋_GB2312"/>
          <w:sz w:val="32"/>
          <w:szCs w:val="36"/>
          <w:highlight w:val="none"/>
          <w:lang w:val="en-US" w:eastAsia="zh-CN"/>
        </w:rPr>
        <w:t>本实施细则第九条中，具身智能机器人产品主要包含运用人工智能大模型、多模态感知、模拟仿真训练等技术，具备环境感知、行为控制、人机交互等能力的全尺寸人形机器人、四足机器狗以及其他形态的类人形或仿生机器人等产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楷体_GB2312" w:hAnsi="楷体_GB2312" w:eastAsia="楷体_GB2312" w:cs="楷体_GB2312"/>
          <w:sz w:val="32"/>
          <w:szCs w:val="36"/>
          <w:highlight w:val="none"/>
          <w:lang w:val="en-US" w:eastAsia="zh-CN"/>
        </w:rPr>
        <w:t>第二十四条</w:t>
      </w:r>
      <w:r>
        <w:rPr>
          <w:rFonts w:hint="eastAsia" w:ascii="仿宋_GB2312" w:hAnsi="仿宋_GB2312" w:eastAsia="仿宋_GB2312" w:cs="仿宋_GB2312"/>
          <w:sz w:val="32"/>
          <w:szCs w:val="36"/>
          <w:highlight w:val="none"/>
          <w:lang w:val="en-US" w:eastAsia="zh-CN"/>
        </w:rPr>
        <w:t xml:space="preserve"> 本实施细则第十三条中，产业空间需符合以下基本条件：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（一）产业空间运营机构是</w:t>
      </w:r>
      <w:r>
        <w:rPr>
          <w:rFonts w:hint="eastAsia" w:ascii="仿宋_GB2312" w:hAnsi="仿宋_GB2312" w:eastAsia="仿宋_GB2312" w:cs="仿宋_GB2312"/>
          <w:sz w:val="32"/>
          <w:szCs w:val="36"/>
          <w:highlight w:val="none"/>
        </w:rPr>
        <w:t>在龙岗区实际经营</w:t>
      </w:r>
      <w:r>
        <w:rPr>
          <w:rFonts w:hint="eastAsia" w:ascii="仿宋_GB2312" w:hAnsi="仿宋_GB2312" w:eastAsia="仿宋_GB2312" w:cs="仿宋_GB2312"/>
          <w:sz w:val="32"/>
          <w:szCs w:val="36"/>
          <w:highlight w:val="none"/>
          <w:lang w:val="en-US" w:eastAsia="zh-CN"/>
        </w:rPr>
        <w:t>的企业。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（二）有良好的运营水平、科学的运营机制、规范的管理制度和满足运营需要的配套服务设施，工作人员不少于3名（</w:t>
      </w:r>
      <w:r>
        <w:rPr>
          <w:rFonts w:hint="eastAsia" w:ascii="楷体_GB2312" w:hAnsi="楷体_GB2312" w:eastAsia="楷体_GB2312" w:cs="楷体_GB2312"/>
          <w:sz w:val="32"/>
          <w:szCs w:val="36"/>
          <w:highlight w:val="none"/>
          <w:lang w:val="en-US" w:eastAsia="zh-CN"/>
        </w:rPr>
        <w:t>其中专职工作人员不少于1名</w:t>
      </w:r>
      <w:r>
        <w:rPr>
          <w:rFonts w:hint="eastAsia" w:ascii="仿宋_GB2312" w:hAnsi="仿宋_GB2312" w:eastAsia="仿宋_GB2312" w:cs="仿宋_GB2312"/>
          <w:sz w:val="32"/>
          <w:szCs w:val="36"/>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（三）有固定的独立经营场地，场地属于自有物业的、产权必须清晰；属于租用物业或合作、委托等形式运营的，申请时租赁（</w:t>
      </w:r>
      <w:r>
        <w:rPr>
          <w:rFonts w:hint="eastAsia" w:ascii="楷体_GB2312" w:hAnsi="楷体_GB2312" w:eastAsia="楷体_GB2312" w:cs="楷体_GB2312"/>
          <w:sz w:val="32"/>
          <w:szCs w:val="36"/>
          <w:highlight w:val="none"/>
          <w:lang w:val="en-US" w:eastAsia="zh-CN"/>
        </w:rPr>
        <w:t>委托运营</w:t>
      </w:r>
      <w:r>
        <w:rPr>
          <w:rFonts w:hint="eastAsia" w:ascii="仿宋_GB2312" w:hAnsi="仿宋_GB2312" w:eastAsia="仿宋_GB2312" w:cs="仿宋_GB2312"/>
          <w:sz w:val="32"/>
          <w:szCs w:val="36"/>
          <w:highlight w:val="none"/>
          <w:lang w:val="en-US" w:eastAsia="zh-CN"/>
        </w:rPr>
        <w:t>）合同剩余期限不少于3年（含）。</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val="en-US" w:eastAsia="zh-CN"/>
        </w:rPr>
      </w:pPr>
      <w:r>
        <w:rPr>
          <w:rFonts w:hint="eastAsia" w:ascii="仿宋_GB2312" w:hAnsi="仿宋_GB2312" w:eastAsia="仿宋_GB2312" w:cs="仿宋_GB2312"/>
          <w:sz w:val="32"/>
          <w:szCs w:val="36"/>
          <w:highlight w:val="none"/>
          <w:lang w:val="en-US" w:eastAsia="zh-CN"/>
        </w:rPr>
        <w:t>（四）建筑面积原则上不低于1000平方米。</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center"/>
        <w:textAlignment w:val="auto"/>
        <w:rPr>
          <w:rFonts w:ascii="黑体" w:hAnsi="黑体" w:eastAsia="黑体" w:cs="Arial"/>
          <w:color w:val="auto"/>
          <w:sz w:val="32"/>
          <w:szCs w:val="32"/>
          <w:highlight w:val="none"/>
        </w:rPr>
      </w:pPr>
      <w:r>
        <w:rPr>
          <w:rFonts w:hint="eastAsia" w:ascii="黑体" w:hAnsi="黑体" w:eastAsia="黑体" w:cs="Arial"/>
          <w:color w:val="auto"/>
          <w:sz w:val="32"/>
          <w:szCs w:val="32"/>
          <w:highlight w:val="none"/>
        </w:rPr>
        <w:t>第</w:t>
      </w:r>
      <w:r>
        <w:rPr>
          <w:rFonts w:hint="eastAsia" w:ascii="黑体" w:hAnsi="黑体" w:eastAsia="黑体" w:cs="Arial"/>
          <w:color w:val="auto"/>
          <w:sz w:val="32"/>
          <w:szCs w:val="32"/>
          <w:highlight w:val="none"/>
          <w:lang w:val="en-US" w:eastAsia="zh-CN"/>
        </w:rPr>
        <w:t>四</w:t>
      </w:r>
      <w:r>
        <w:rPr>
          <w:rFonts w:hint="eastAsia" w:ascii="黑体" w:hAnsi="黑体" w:eastAsia="黑体" w:cs="Arial"/>
          <w:color w:val="auto"/>
          <w:sz w:val="32"/>
          <w:szCs w:val="32"/>
          <w:highlight w:val="none"/>
        </w:rPr>
        <w:t>章 项目申报和审核</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lang w:val="en-US" w:eastAsia="zh-CN"/>
        </w:rPr>
        <w:t>第二十五条</w:t>
      </w:r>
      <w:r>
        <w:rPr>
          <w:rFonts w:hint="eastAsia" w:ascii="楷体_GB2312" w:hAnsi="楷体_GB2312" w:eastAsia="楷体_GB2312" w:cs="楷体_GB2312"/>
          <w:sz w:val="32"/>
          <w:szCs w:val="36"/>
          <w:highlight w:val="none"/>
          <w:lang w:val="en-US" w:eastAsia="zh-CN"/>
        </w:rPr>
        <w:t xml:space="preserve"> </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龙岗区人工智能（机器人）署根据本实施细则制定年度扶持计划项目申请指南（通知），在龙岗政府在线</w:t>
      </w:r>
      <w:r>
        <w:rPr>
          <w:rFonts w:hint="eastAsia" w:ascii="仿宋_GB2312" w:hAnsi="仿宋_GB2312" w:eastAsia="仿宋_GB2312" w:cs="仿宋_GB2312"/>
          <w:sz w:val="32"/>
          <w:szCs w:val="36"/>
          <w:highlight w:val="none"/>
          <w:lang w:eastAsia="zh-CN"/>
        </w:rPr>
        <w:t>等</w:t>
      </w:r>
      <w:r>
        <w:rPr>
          <w:rFonts w:hint="eastAsia" w:ascii="仿宋_GB2312" w:hAnsi="仿宋_GB2312" w:eastAsia="仿宋_GB2312" w:cs="仿宋_GB2312"/>
          <w:sz w:val="32"/>
          <w:szCs w:val="36"/>
          <w:highlight w:val="none"/>
        </w:rPr>
        <w:t>网站发布</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明确受理时间、申报材料要求等内容。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lang w:val="en-US" w:eastAsia="zh-CN"/>
        </w:rPr>
        <w:t>第二十六条</w:t>
      </w:r>
      <w:r>
        <w:rPr>
          <w:rFonts w:hint="eastAsia" w:ascii="楷体_GB2312" w:hAnsi="楷体_GB2312" w:eastAsia="楷体_GB2312" w:cs="楷体_GB2312"/>
          <w:sz w:val="32"/>
          <w:szCs w:val="36"/>
          <w:highlight w:val="none"/>
          <w:lang w:val="en-US" w:eastAsia="zh-CN"/>
        </w:rPr>
        <w:t xml:space="preserve"> </w:t>
      </w:r>
      <w:r>
        <w:rPr>
          <w:rFonts w:hint="eastAsia" w:ascii="仿宋_GB2312" w:hAnsi="仿宋_GB2312" w:eastAsia="仿宋_GB2312" w:cs="仿宋_GB2312"/>
          <w:sz w:val="32"/>
          <w:szCs w:val="36"/>
          <w:highlight w:val="none"/>
          <w:lang w:eastAsia="zh-CN"/>
        </w:rPr>
        <w:t>申报</w:t>
      </w:r>
      <w:r>
        <w:rPr>
          <w:rFonts w:hint="eastAsia" w:ascii="仿宋_GB2312" w:hAnsi="仿宋_GB2312" w:eastAsia="仿宋_GB2312" w:cs="仿宋_GB2312"/>
          <w:sz w:val="32"/>
          <w:szCs w:val="36"/>
          <w:highlight w:val="none"/>
        </w:rPr>
        <w:t>单位根据申请指南要求，在规定时间内如实填报项目信息，提交相关材料。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lang w:val="en-US" w:eastAsia="zh-CN"/>
        </w:rPr>
        <w:t>第二十七条</w:t>
      </w:r>
      <w:r>
        <w:rPr>
          <w:rFonts w:hint="eastAsia" w:ascii="仿宋_GB2312" w:hAnsi="仿宋_GB2312" w:eastAsia="仿宋_GB2312" w:cs="仿宋_GB2312"/>
          <w:sz w:val="32"/>
          <w:szCs w:val="36"/>
          <w:highlight w:val="none"/>
        </w:rPr>
        <w:t xml:space="preserve"> </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龙岗区人工智能（机器人）署组织开展对申报项目进行审核，并征求各有关单位意见，进行项目重复性核查以及申报单位是否被依法依规列入严重失信主体名单且在有效期内等情况。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lang w:eastAsia="zh-CN"/>
        </w:rPr>
      </w:pPr>
      <w:r>
        <w:rPr>
          <w:rFonts w:hint="eastAsia" w:ascii="楷体_GB2312" w:hAnsi="楷体_GB2312" w:eastAsia="楷体_GB2312" w:cs="楷体_GB2312"/>
          <w:b w:val="0"/>
          <w:bCs w:val="0"/>
          <w:sz w:val="32"/>
          <w:szCs w:val="36"/>
          <w:highlight w:val="none"/>
          <w:lang w:val="en-US" w:eastAsia="zh-CN"/>
        </w:rPr>
        <w:t>第二十八条</w:t>
      </w:r>
      <w:r>
        <w:rPr>
          <w:rFonts w:hint="eastAsia" w:ascii="仿宋_GB2312" w:hAnsi="仿宋_GB2312" w:eastAsia="仿宋_GB2312" w:cs="仿宋_GB2312"/>
          <w:sz w:val="32"/>
          <w:szCs w:val="36"/>
          <w:highlight w:val="none"/>
        </w:rPr>
        <w:t xml:space="preserve"> </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龙岗区人工智能（机器人）署对项目进行材料审核，可委托第三方专业服务机构组织开展专家评审和专项审计等相关工作</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第三方专业服务机构向</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龙岗区人工智能（机器人）署提交专家评审、专项审计报告</w:t>
      </w:r>
      <w:r>
        <w:rPr>
          <w:rFonts w:hint="eastAsia" w:ascii="仿宋_GB2312" w:hAnsi="仿宋_GB2312" w:eastAsia="仿宋_GB2312" w:cs="仿宋_GB2312"/>
          <w:sz w:val="32"/>
          <w:szCs w:val="36"/>
          <w:highlight w:val="none"/>
          <w:lang w:eastAsia="zh-CN"/>
        </w:rPr>
        <w:t>等相关材料</w:t>
      </w:r>
      <w:r>
        <w:rPr>
          <w:rFonts w:hint="eastAsia" w:ascii="仿宋_GB2312" w:hAnsi="仿宋_GB2312" w:eastAsia="仿宋_GB2312" w:cs="仿宋_GB2312"/>
          <w:sz w:val="32"/>
          <w:szCs w:val="36"/>
          <w:highlight w:val="none"/>
        </w:rPr>
        <w:t>。</w:t>
      </w:r>
      <w:r>
        <w:rPr>
          <w:rFonts w:hint="eastAsia" w:ascii="仿宋_GB2312" w:hAnsi="仿宋_GB2312" w:eastAsia="仿宋_GB2312" w:cs="仿宋_GB2312"/>
          <w:sz w:val="32"/>
          <w:szCs w:val="36"/>
          <w:highlight w:val="none"/>
          <w:lang w:eastAsia="zh-CN"/>
        </w:rPr>
        <w:t>最终审核意见以</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w:t>
      </w:r>
      <w:r>
        <w:rPr>
          <w:rFonts w:hint="eastAsia" w:ascii="仿宋_GB2312" w:hAnsi="仿宋_GB2312" w:eastAsia="仿宋_GB2312" w:cs="仿宋_GB2312"/>
          <w:sz w:val="32"/>
          <w:szCs w:val="36"/>
          <w:highlight w:val="none"/>
          <w:lang w:eastAsia="zh-CN"/>
        </w:rPr>
        <w:t>的意见为准。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lang w:val="en-US" w:eastAsia="zh-CN"/>
        </w:rPr>
        <w:t>第二十九条</w:t>
      </w:r>
      <w:r>
        <w:rPr>
          <w:rFonts w:hint="eastAsia" w:ascii="楷体_GB2312" w:hAnsi="楷体_GB2312" w:eastAsia="楷体_GB2312" w:cs="楷体_GB2312"/>
          <w:sz w:val="32"/>
          <w:szCs w:val="36"/>
          <w:highlight w:val="none"/>
          <w:lang w:val="en-US" w:eastAsia="zh-CN"/>
        </w:rPr>
        <w:t xml:space="preserve"> </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龙岗区人工智能（机器人）署根据年度资金安排，结合项目专家评审、专项审计结果等情况，编制资金扶持计划，确定拟扶持项目名单和扶持金额。</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lang w:val="en-US" w:eastAsia="zh-CN"/>
        </w:rPr>
        <w:t xml:space="preserve">第三十条 </w:t>
      </w:r>
      <w:r>
        <w:rPr>
          <w:rFonts w:hint="eastAsia" w:ascii="仿宋_GB2312" w:hAnsi="仿宋_GB2312" w:eastAsia="仿宋_GB2312" w:cs="仿宋_GB2312"/>
          <w:sz w:val="32"/>
          <w:szCs w:val="36"/>
          <w:highlight w:val="none"/>
        </w:rPr>
        <w:t>审核通过的拟扶持项目按规定在龙岗政府在线</w:t>
      </w:r>
      <w:r>
        <w:rPr>
          <w:rFonts w:hint="eastAsia" w:ascii="仿宋_GB2312" w:hAnsi="仿宋_GB2312" w:eastAsia="仿宋_GB2312" w:cs="仿宋_GB2312"/>
          <w:sz w:val="32"/>
          <w:szCs w:val="36"/>
          <w:highlight w:val="none"/>
          <w:lang w:eastAsia="zh-CN"/>
        </w:rPr>
        <w:t>等</w:t>
      </w:r>
      <w:r>
        <w:rPr>
          <w:rFonts w:hint="eastAsia" w:ascii="仿宋_GB2312" w:hAnsi="仿宋_GB2312" w:eastAsia="仿宋_GB2312" w:cs="仿宋_GB2312"/>
          <w:sz w:val="32"/>
          <w:szCs w:val="36"/>
          <w:highlight w:val="none"/>
        </w:rPr>
        <w:t>网站进行公示，公示时间为5个工作日。对公示内容有异议的，可在公示期内向</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龙岗区人工智能（机器人）署书面提出。对于公示有异议的，由</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龙岗区人工智能（机器人）署进行调查或组织重审，不予扶持的向申报单位反馈理由。</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0" w:firstLineChars="0"/>
        <w:jc w:val="center"/>
        <w:textAlignment w:val="auto"/>
        <w:rPr>
          <w:rFonts w:ascii="黑体" w:hAnsi="黑体" w:eastAsia="黑体" w:cs="Arial"/>
          <w:color w:val="auto"/>
          <w:sz w:val="32"/>
          <w:szCs w:val="32"/>
          <w:highlight w:val="none"/>
        </w:rPr>
      </w:pPr>
      <w:r>
        <w:rPr>
          <w:rFonts w:hint="eastAsia" w:ascii="黑体" w:hAnsi="黑体" w:eastAsia="黑体" w:cs="Arial"/>
          <w:color w:val="auto"/>
          <w:sz w:val="32"/>
          <w:szCs w:val="32"/>
          <w:highlight w:val="none"/>
        </w:rPr>
        <w:t>第</w:t>
      </w:r>
      <w:r>
        <w:rPr>
          <w:rFonts w:hint="eastAsia" w:ascii="黑体" w:hAnsi="黑体" w:eastAsia="黑体" w:cs="Arial"/>
          <w:color w:val="auto"/>
          <w:sz w:val="32"/>
          <w:szCs w:val="32"/>
          <w:highlight w:val="none"/>
          <w:lang w:val="en-US" w:eastAsia="zh-CN"/>
        </w:rPr>
        <w:t>五</w:t>
      </w:r>
      <w:r>
        <w:rPr>
          <w:rFonts w:hint="eastAsia" w:ascii="黑体" w:hAnsi="黑体" w:eastAsia="黑体" w:cs="Arial"/>
          <w:color w:val="auto"/>
          <w:sz w:val="32"/>
          <w:szCs w:val="32"/>
          <w:highlight w:val="none"/>
        </w:rPr>
        <w:t>章 附则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lang w:val="en-US" w:eastAsia="zh-CN"/>
        </w:rPr>
        <w:t>第三十一条</w:t>
      </w:r>
      <w:r>
        <w:rPr>
          <w:rFonts w:hint="eastAsia" w:ascii="楷体_GB2312" w:hAnsi="楷体_GB2312" w:eastAsia="楷体_GB2312" w:cs="楷体_GB2312"/>
          <w:sz w:val="32"/>
          <w:szCs w:val="36"/>
          <w:highlight w:val="none"/>
          <w:lang w:val="en-US" w:eastAsia="zh-CN"/>
        </w:rPr>
        <w:t xml:space="preserve"> </w:t>
      </w:r>
      <w:r>
        <w:rPr>
          <w:rFonts w:hint="eastAsia" w:ascii="仿宋_GB2312" w:hAnsi="仿宋_GB2312" w:eastAsia="仿宋_GB2312" w:cs="仿宋_GB2312"/>
          <w:sz w:val="32"/>
          <w:szCs w:val="36"/>
          <w:highlight w:val="none"/>
        </w:rPr>
        <w:t>本实施细则的资助额，一律向下取整到元。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lang w:val="en-US" w:eastAsia="zh-CN"/>
        </w:rPr>
        <w:t>第三十二条</w:t>
      </w:r>
      <w:r>
        <w:rPr>
          <w:rFonts w:hint="eastAsia" w:ascii="楷体_GB2312" w:hAnsi="楷体_GB2312" w:eastAsia="楷体_GB2312" w:cs="楷体_GB2312"/>
          <w:sz w:val="32"/>
          <w:szCs w:val="36"/>
          <w:highlight w:val="none"/>
          <w:lang w:val="en-US" w:eastAsia="zh-CN"/>
        </w:rPr>
        <w:t xml:space="preserve"> </w:t>
      </w:r>
      <w:r>
        <w:rPr>
          <w:rFonts w:hint="eastAsia" w:ascii="仿宋_GB2312" w:hAnsi="仿宋_GB2312" w:eastAsia="仿宋_GB2312" w:cs="仿宋_GB2312"/>
          <w:sz w:val="32"/>
          <w:szCs w:val="36"/>
          <w:highlight w:val="none"/>
        </w:rPr>
        <w:t>本</w:t>
      </w:r>
      <w:r>
        <w:rPr>
          <w:rFonts w:hint="eastAsia" w:ascii="仿宋_GB2312" w:hAnsi="仿宋_GB2312" w:eastAsia="仿宋_GB2312" w:cs="仿宋_GB2312"/>
          <w:sz w:val="32"/>
          <w:szCs w:val="36"/>
          <w:highlight w:val="none"/>
          <w:lang w:val="en-US" w:eastAsia="zh-CN"/>
        </w:rPr>
        <w:t>实施细则</w:t>
      </w:r>
      <w:r>
        <w:rPr>
          <w:rFonts w:hint="eastAsia" w:ascii="仿宋_GB2312" w:hAnsi="仿宋_GB2312" w:eastAsia="仿宋_GB2312" w:cs="仿宋_GB2312"/>
          <w:sz w:val="32"/>
          <w:szCs w:val="36"/>
          <w:highlight w:val="none"/>
        </w:rPr>
        <w:t>中的日期、比例及金额等，除特别注明外均包括本数。本</w:t>
      </w:r>
      <w:r>
        <w:rPr>
          <w:rFonts w:hint="eastAsia" w:ascii="仿宋_GB2312" w:hAnsi="仿宋_GB2312" w:eastAsia="仿宋_GB2312" w:cs="仿宋_GB2312"/>
          <w:sz w:val="32"/>
          <w:szCs w:val="36"/>
          <w:highlight w:val="none"/>
          <w:lang w:eastAsia="zh-CN"/>
        </w:rPr>
        <w:t>实施</w:t>
      </w:r>
      <w:r>
        <w:rPr>
          <w:rFonts w:hint="eastAsia" w:ascii="仿宋_GB2312" w:hAnsi="仿宋_GB2312" w:eastAsia="仿宋_GB2312" w:cs="仿宋_GB2312"/>
          <w:sz w:val="32"/>
          <w:szCs w:val="36"/>
          <w:highlight w:val="none"/>
        </w:rPr>
        <w:t>细则中的</w:t>
      </w:r>
      <w:r>
        <w:rPr>
          <w:rFonts w:hint="eastAsia" w:ascii="仿宋_GB2312" w:hAnsi="仿宋_GB2312" w:eastAsia="仿宋_GB2312" w:cs="仿宋_GB2312"/>
          <w:sz w:val="32"/>
          <w:szCs w:val="36"/>
          <w:highlight w:val="none"/>
          <w:lang w:val="en-US" w:eastAsia="zh-CN"/>
        </w:rPr>
        <w:t>每年、</w:t>
      </w:r>
      <w:r>
        <w:rPr>
          <w:rFonts w:hint="eastAsia" w:ascii="仿宋_GB2312" w:hAnsi="仿宋_GB2312" w:eastAsia="仿宋_GB2312" w:cs="仿宋_GB2312"/>
          <w:sz w:val="32"/>
          <w:szCs w:val="36"/>
          <w:highlight w:val="none"/>
        </w:rPr>
        <w:t>年度</w:t>
      </w:r>
      <w:r>
        <w:rPr>
          <w:rFonts w:hint="eastAsia" w:ascii="仿宋_GB2312" w:hAnsi="仿宋_GB2312" w:eastAsia="仿宋_GB2312" w:cs="仿宋_GB2312"/>
          <w:sz w:val="32"/>
          <w:szCs w:val="36"/>
          <w:highlight w:val="none"/>
          <w:lang w:eastAsia="zh-CN"/>
        </w:rPr>
        <w:t>（</w:t>
      </w:r>
      <w:r>
        <w:rPr>
          <w:rFonts w:hint="eastAsia" w:ascii="楷体_GB2312" w:hAnsi="楷体_GB2312" w:eastAsia="楷体_GB2312" w:cs="楷体_GB2312"/>
          <w:sz w:val="32"/>
          <w:szCs w:val="36"/>
          <w:highlight w:val="none"/>
          <w:lang w:val="en-US" w:eastAsia="zh-CN"/>
        </w:rPr>
        <w:t>除周期年度外</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sz w:val="32"/>
          <w:szCs w:val="36"/>
          <w:highlight w:val="none"/>
        </w:rPr>
        <w:t>均指自然年度。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6"/>
          <w:highlight w:val="none"/>
        </w:rPr>
      </w:pPr>
      <w:r>
        <w:rPr>
          <w:rFonts w:hint="eastAsia" w:ascii="楷体_GB2312" w:hAnsi="楷体_GB2312" w:eastAsia="楷体_GB2312" w:cs="楷体_GB2312"/>
          <w:b w:val="0"/>
          <w:bCs w:val="0"/>
          <w:sz w:val="32"/>
          <w:szCs w:val="36"/>
          <w:highlight w:val="none"/>
          <w:lang w:val="en-US" w:eastAsia="zh-CN"/>
        </w:rPr>
        <w:t>第三十三条</w:t>
      </w:r>
      <w:r>
        <w:rPr>
          <w:rFonts w:hint="eastAsia" w:ascii="楷体_GB2312" w:hAnsi="楷体_GB2312" w:eastAsia="楷体_GB2312" w:cs="楷体_GB2312"/>
          <w:sz w:val="32"/>
          <w:szCs w:val="36"/>
          <w:highlight w:val="none"/>
          <w:lang w:val="en-US" w:eastAsia="zh-CN"/>
        </w:rPr>
        <w:t xml:space="preserve"> </w:t>
      </w:r>
      <w:r>
        <w:rPr>
          <w:rFonts w:hint="eastAsia" w:ascii="仿宋_GB2312" w:hAnsi="仿宋_GB2312" w:eastAsia="仿宋_GB2312" w:cs="仿宋_GB2312"/>
          <w:sz w:val="32"/>
          <w:szCs w:val="36"/>
          <w:highlight w:val="none"/>
          <w:lang w:val="en-US" w:eastAsia="zh-CN"/>
        </w:rPr>
        <w:t>同一事项，适用于本实施细则，同时又适用于龙岗区其它扶持政策时，申报单位可按照就高不就低的原则自主选择申报，不予重复扶持</w:t>
      </w:r>
      <w:r>
        <w:rPr>
          <w:rFonts w:hint="eastAsia" w:ascii="仿宋_GB2312" w:hAnsi="仿宋_GB2312" w:eastAsia="仿宋_GB2312" w:cs="仿宋_GB2312"/>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color w:val="auto"/>
          <w:highlight w:val="none"/>
        </w:rPr>
      </w:pPr>
      <w:r>
        <w:rPr>
          <w:rFonts w:hint="eastAsia" w:ascii="楷体_GB2312" w:hAnsi="楷体_GB2312" w:eastAsia="楷体_GB2312" w:cs="楷体_GB2312"/>
          <w:b w:val="0"/>
          <w:bCs w:val="0"/>
          <w:sz w:val="32"/>
          <w:szCs w:val="36"/>
          <w:highlight w:val="none"/>
          <w:lang w:val="en-US" w:eastAsia="zh-CN"/>
        </w:rPr>
        <w:t>第三十四条</w:t>
      </w:r>
      <w:r>
        <w:rPr>
          <w:rFonts w:hint="eastAsia" w:ascii="仿宋_GB2312" w:hAnsi="仿宋_GB2312" w:eastAsia="仿宋_GB2312" w:cs="仿宋_GB2312"/>
          <w:sz w:val="32"/>
          <w:szCs w:val="36"/>
          <w:highlight w:val="none"/>
        </w:rPr>
        <w:t xml:space="preserve"> 本</w:t>
      </w:r>
      <w:r>
        <w:rPr>
          <w:rFonts w:hint="eastAsia" w:ascii="仿宋_GB2312" w:hAnsi="仿宋_GB2312" w:eastAsia="仿宋_GB2312" w:cs="仿宋_GB2312"/>
          <w:sz w:val="32"/>
          <w:szCs w:val="36"/>
          <w:highlight w:val="none"/>
          <w:lang w:val="en-US" w:eastAsia="zh-CN"/>
        </w:rPr>
        <w:t>实施细则</w:t>
      </w:r>
      <w:r>
        <w:rPr>
          <w:rFonts w:hint="eastAsia" w:ascii="仿宋_GB2312" w:hAnsi="仿宋_GB2312" w:eastAsia="仿宋_GB2312" w:cs="仿宋_GB2312"/>
          <w:sz w:val="32"/>
          <w:szCs w:val="36"/>
          <w:highlight w:val="none"/>
        </w:rPr>
        <w:t>自</w:t>
      </w:r>
      <w:r>
        <w:rPr>
          <w:rFonts w:hint="eastAsia" w:ascii="仿宋_GB2312" w:hAnsi="仿宋_GB2312" w:eastAsia="仿宋_GB2312" w:cs="仿宋_GB2312"/>
          <w:sz w:val="32"/>
          <w:szCs w:val="36"/>
          <w:highlight w:val="none"/>
          <w:lang w:val="en-US" w:eastAsia="zh-CN"/>
        </w:rPr>
        <w:t>2025</w:t>
      </w:r>
      <w:r>
        <w:rPr>
          <w:rFonts w:hint="eastAsia" w:ascii="仿宋_GB2312" w:hAnsi="仿宋_GB2312" w:eastAsia="仿宋_GB2312" w:cs="仿宋_GB2312"/>
          <w:sz w:val="32"/>
          <w:szCs w:val="36"/>
          <w:highlight w:val="none"/>
        </w:rPr>
        <w:t>年</w:t>
      </w:r>
      <w:r>
        <w:rPr>
          <w:rFonts w:hint="eastAsia" w:ascii="仿宋_GB2312" w:hAnsi="仿宋_GB2312" w:eastAsia="仿宋_GB2312" w:cs="仿宋_GB2312"/>
          <w:sz w:val="32"/>
          <w:szCs w:val="36"/>
          <w:highlight w:val="none"/>
          <w:lang w:val="en-US" w:eastAsia="zh-CN"/>
        </w:rPr>
        <w:t>6</w:t>
      </w:r>
      <w:r>
        <w:rPr>
          <w:rFonts w:hint="eastAsia" w:ascii="仿宋_GB2312" w:hAnsi="仿宋_GB2312" w:eastAsia="仿宋_GB2312" w:cs="仿宋_GB2312"/>
          <w:sz w:val="32"/>
          <w:szCs w:val="36"/>
          <w:highlight w:val="none"/>
        </w:rPr>
        <w:t>月</w:t>
      </w:r>
      <w:r>
        <w:rPr>
          <w:rFonts w:hint="default" w:ascii="仿宋_GB2312" w:hAnsi="仿宋_GB2312" w:eastAsia="仿宋_GB2312" w:cs="仿宋_GB2312"/>
          <w:sz w:val="32"/>
          <w:szCs w:val="36"/>
          <w:highlight w:val="none"/>
          <w:lang w:val="en-US"/>
        </w:rPr>
        <w:t>13</w:t>
      </w:r>
      <w:r>
        <w:rPr>
          <w:rFonts w:hint="eastAsia" w:ascii="仿宋_GB2312" w:hAnsi="仿宋_GB2312" w:eastAsia="仿宋_GB2312" w:cs="仿宋_GB2312"/>
          <w:sz w:val="32"/>
          <w:szCs w:val="36"/>
          <w:highlight w:val="none"/>
        </w:rPr>
        <w:t>日起施行，有效期3年。在有效期内，</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龙岗区人工智能（机器人）署可根据实际情况，</w:t>
      </w:r>
      <w:r>
        <w:rPr>
          <w:rFonts w:hint="eastAsia" w:ascii="仿宋_GB2312" w:hAnsi="仿宋_GB2312" w:eastAsia="仿宋_GB2312" w:cs="仿宋_GB2312"/>
          <w:sz w:val="32"/>
          <w:szCs w:val="36"/>
          <w:highlight w:val="none"/>
          <w:lang w:eastAsia="zh-CN"/>
        </w:rPr>
        <w:t>会同</w:t>
      </w:r>
      <w:r>
        <w:rPr>
          <w:rFonts w:hint="eastAsia" w:ascii="仿宋_GB2312" w:hAnsi="仿宋_GB2312" w:eastAsia="仿宋_GB2312" w:cs="仿宋_GB2312"/>
          <w:b w:val="0"/>
          <w:bCs w:val="0"/>
          <w:sz w:val="32"/>
          <w:szCs w:val="36"/>
          <w:highlight w:val="none"/>
          <w:lang w:val="en-US" w:eastAsia="zh-CN"/>
        </w:rPr>
        <w:t>深圳市</w:t>
      </w:r>
      <w:r>
        <w:rPr>
          <w:rFonts w:hint="eastAsia" w:ascii="仿宋_GB2312" w:hAnsi="仿宋_GB2312" w:eastAsia="仿宋_GB2312" w:cs="仿宋_GB2312"/>
          <w:sz w:val="32"/>
          <w:szCs w:val="36"/>
          <w:highlight w:val="none"/>
        </w:rPr>
        <w:t>龙岗区</w:t>
      </w:r>
      <w:r>
        <w:rPr>
          <w:rFonts w:hint="eastAsia" w:ascii="仿宋_GB2312" w:hAnsi="仿宋_GB2312" w:eastAsia="仿宋_GB2312" w:cs="仿宋_GB2312"/>
          <w:sz w:val="32"/>
          <w:szCs w:val="36"/>
          <w:highlight w:val="none"/>
          <w:lang w:eastAsia="zh-CN"/>
        </w:rPr>
        <w:t>工业和信息化局</w:t>
      </w:r>
      <w:r>
        <w:rPr>
          <w:rFonts w:hint="eastAsia" w:ascii="仿宋_GB2312" w:hAnsi="仿宋_GB2312" w:eastAsia="仿宋_GB2312" w:cs="仿宋_GB2312"/>
          <w:sz w:val="32"/>
          <w:szCs w:val="36"/>
          <w:highlight w:val="none"/>
        </w:rPr>
        <w:t>对本细则进行整体性的修订、调整、发布和实施。</w:t>
      </w:r>
    </w:p>
    <w:sectPr>
      <w:footerReference r:id="rId3" w:type="default"/>
      <w:pgSz w:w="11906" w:h="16838"/>
      <w:pgMar w:top="2041"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- 6 -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LNJWO7QAAAABQEAAA8AAAAAAAAAAQAgAAAAOAAAAGRy&#10;cy9kb3ducmV2LnhtbFBLAQIUABQAAAAIAIdO4kBQeBxdMAIAAGMEAAAOAAAAAAAAAAEAIAAAADUB&#10;AABkcnMvZTJvRG9jLnhtbFBLBQYAAAAABgAGAFkBAADXBQAAAAA=&#10;">
              <v:fill on="f" focussize="0,0"/>
              <v:stroke on="f" weight="0.5pt"/>
              <v:imagedata o:title=""/>
              <o:lock v:ext="edit" aspectratio="f"/>
              <v:textbox inset="0mm,0mm,0mm,0mm" style="mso-fit-shape-to-text:t;">
                <w:txbxContent>
                  <w:p>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- 6 -</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revisionView w:markup="0"/>
  <w:documentProtection w:enforcement="0"/>
  <w:displayHorizontalDrawingGridEvery w:val="1"/>
  <w:displayVerticalDrawingGridEvery w:val="1"/>
  <w:noPunctuationKerning w:val="1"/>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WM5MzFjNzIwOWM0MzYxNmFlNTNjZmU5NDdhNjIifQ=="/>
  </w:docVars>
  <w:rsids>
    <w:rsidRoot w:val="00000000"/>
    <w:rsid w:val="0067722F"/>
    <w:rsid w:val="00C409C4"/>
    <w:rsid w:val="010C170A"/>
    <w:rsid w:val="01172A03"/>
    <w:rsid w:val="03A72764"/>
    <w:rsid w:val="03D86C7A"/>
    <w:rsid w:val="04135373"/>
    <w:rsid w:val="047C1102"/>
    <w:rsid w:val="04F43477"/>
    <w:rsid w:val="05393890"/>
    <w:rsid w:val="05526700"/>
    <w:rsid w:val="056F6202"/>
    <w:rsid w:val="06040238"/>
    <w:rsid w:val="060A6FDB"/>
    <w:rsid w:val="0652158E"/>
    <w:rsid w:val="067C74F1"/>
    <w:rsid w:val="069A09E5"/>
    <w:rsid w:val="070A2D1D"/>
    <w:rsid w:val="08017F69"/>
    <w:rsid w:val="08D64319"/>
    <w:rsid w:val="0A0F1B44"/>
    <w:rsid w:val="0A234E9B"/>
    <w:rsid w:val="0A252635"/>
    <w:rsid w:val="0AAC5A10"/>
    <w:rsid w:val="0AC21C32"/>
    <w:rsid w:val="0B226B74"/>
    <w:rsid w:val="0B7F23C1"/>
    <w:rsid w:val="0B8E0FBD"/>
    <w:rsid w:val="0BD76934"/>
    <w:rsid w:val="0BE150EA"/>
    <w:rsid w:val="0BFBE232"/>
    <w:rsid w:val="0C566DE4"/>
    <w:rsid w:val="0D044784"/>
    <w:rsid w:val="0D907EAE"/>
    <w:rsid w:val="0DD3613A"/>
    <w:rsid w:val="0DE42762"/>
    <w:rsid w:val="0E274D17"/>
    <w:rsid w:val="0ECE5049"/>
    <w:rsid w:val="0F136F00"/>
    <w:rsid w:val="0F3B5B9B"/>
    <w:rsid w:val="0FD22917"/>
    <w:rsid w:val="115B6532"/>
    <w:rsid w:val="11F748B7"/>
    <w:rsid w:val="1239330E"/>
    <w:rsid w:val="12CC5921"/>
    <w:rsid w:val="137A50D3"/>
    <w:rsid w:val="139B74C4"/>
    <w:rsid w:val="144C00F3"/>
    <w:rsid w:val="148368D6"/>
    <w:rsid w:val="160B6B83"/>
    <w:rsid w:val="166D339A"/>
    <w:rsid w:val="169846F6"/>
    <w:rsid w:val="174A3998"/>
    <w:rsid w:val="17677F2B"/>
    <w:rsid w:val="17CE60BA"/>
    <w:rsid w:val="17CF2665"/>
    <w:rsid w:val="18D074B8"/>
    <w:rsid w:val="19E7401A"/>
    <w:rsid w:val="1A1B93D0"/>
    <w:rsid w:val="1B3A54A9"/>
    <w:rsid w:val="1B4A061B"/>
    <w:rsid w:val="1BB7F41E"/>
    <w:rsid w:val="1BBDFB27"/>
    <w:rsid w:val="1C5A43C0"/>
    <w:rsid w:val="1D1F9390"/>
    <w:rsid w:val="1DAD7CE5"/>
    <w:rsid w:val="1DBE097F"/>
    <w:rsid w:val="1DEFB1A1"/>
    <w:rsid w:val="1DFF490E"/>
    <w:rsid w:val="1E396257"/>
    <w:rsid w:val="1EE00481"/>
    <w:rsid w:val="1F7F935C"/>
    <w:rsid w:val="1FBB1664"/>
    <w:rsid w:val="1FD71884"/>
    <w:rsid w:val="1FEE331A"/>
    <w:rsid w:val="1FEF8192"/>
    <w:rsid w:val="1FFC63E7"/>
    <w:rsid w:val="204D1BCD"/>
    <w:rsid w:val="20564103"/>
    <w:rsid w:val="20B816B5"/>
    <w:rsid w:val="2164183D"/>
    <w:rsid w:val="21664B40"/>
    <w:rsid w:val="231653C8"/>
    <w:rsid w:val="2369313B"/>
    <w:rsid w:val="23D06D16"/>
    <w:rsid w:val="24B30B11"/>
    <w:rsid w:val="25950217"/>
    <w:rsid w:val="262E1F69"/>
    <w:rsid w:val="26F8727B"/>
    <w:rsid w:val="27561C28"/>
    <w:rsid w:val="278714C6"/>
    <w:rsid w:val="27DF0747"/>
    <w:rsid w:val="282E5827"/>
    <w:rsid w:val="298C36DF"/>
    <w:rsid w:val="2A1D07DB"/>
    <w:rsid w:val="2A3A632B"/>
    <w:rsid w:val="2A5C2650"/>
    <w:rsid w:val="2A9E358E"/>
    <w:rsid w:val="2B5A58AD"/>
    <w:rsid w:val="2B9867CC"/>
    <w:rsid w:val="2C1576C9"/>
    <w:rsid w:val="2C1E72AD"/>
    <w:rsid w:val="2C4E66AB"/>
    <w:rsid w:val="2E255EB0"/>
    <w:rsid w:val="2E9F7575"/>
    <w:rsid w:val="2EB3498A"/>
    <w:rsid w:val="2F7F010C"/>
    <w:rsid w:val="2FAF6E6C"/>
    <w:rsid w:val="2FBB3C7A"/>
    <w:rsid w:val="30DA3CDF"/>
    <w:rsid w:val="30DFCFD0"/>
    <w:rsid w:val="31141136"/>
    <w:rsid w:val="31541B56"/>
    <w:rsid w:val="31B5AD21"/>
    <w:rsid w:val="323C6DC9"/>
    <w:rsid w:val="335A65FC"/>
    <w:rsid w:val="33770F5C"/>
    <w:rsid w:val="33BF8FCF"/>
    <w:rsid w:val="345931F7"/>
    <w:rsid w:val="356B79AA"/>
    <w:rsid w:val="35A04E76"/>
    <w:rsid w:val="35A33705"/>
    <w:rsid w:val="35AB1391"/>
    <w:rsid w:val="35ED6533"/>
    <w:rsid w:val="36981915"/>
    <w:rsid w:val="36DEC5A4"/>
    <w:rsid w:val="36FD4EC4"/>
    <w:rsid w:val="37446182"/>
    <w:rsid w:val="37585102"/>
    <w:rsid w:val="375B849F"/>
    <w:rsid w:val="379B7D9B"/>
    <w:rsid w:val="379F1A9A"/>
    <w:rsid w:val="37AF02B6"/>
    <w:rsid w:val="37BB9C9A"/>
    <w:rsid w:val="37CD40CB"/>
    <w:rsid w:val="37E85F3E"/>
    <w:rsid w:val="38A30A45"/>
    <w:rsid w:val="39086C86"/>
    <w:rsid w:val="39096AFA"/>
    <w:rsid w:val="397526BD"/>
    <w:rsid w:val="3A4F678F"/>
    <w:rsid w:val="3AB94550"/>
    <w:rsid w:val="3B1FEB5A"/>
    <w:rsid w:val="3B920D99"/>
    <w:rsid w:val="3B9FD4FE"/>
    <w:rsid w:val="3BB62965"/>
    <w:rsid w:val="3BD00F0E"/>
    <w:rsid w:val="3BDE4CDC"/>
    <w:rsid w:val="3BF5CC94"/>
    <w:rsid w:val="3BFF9642"/>
    <w:rsid w:val="3C3909CC"/>
    <w:rsid w:val="3CE04016"/>
    <w:rsid w:val="3CE27D8E"/>
    <w:rsid w:val="3CFF93E2"/>
    <w:rsid w:val="3D2F6C76"/>
    <w:rsid w:val="3D584183"/>
    <w:rsid w:val="3D74756B"/>
    <w:rsid w:val="3D966AB6"/>
    <w:rsid w:val="3DAE57E0"/>
    <w:rsid w:val="3DB63980"/>
    <w:rsid w:val="3DBFD416"/>
    <w:rsid w:val="3DDD3012"/>
    <w:rsid w:val="3DE32438"/>
    <w:rsid w:val="3DF74441"/>
    <w:rsid w:val="3DFD12C2"/>
    <w:rsid w:val="3E7F09C9"/>
    <w:rsid w:val="3EDEBCB8"/>
    <w:rsid w:val="3EEFD62D"/>
    <w:rsid w:val="3EFC99B2"/>
    <w:rsid w:val="3EFDB7E6"/>
    <w:rsid w:val="3F22F075"/>
    <w:rsid w:val="3F460DC5"/>
    <w:rsid w:val="3F6554A4"/>
    <w:rsid w:val="3F7F430F"/>
    <w:rsid w:val="3FBBAE63"/>
    <w:rsid w:val="3FBC2C1D"/>
    <w:rsid w:val="3FBF87B3"/>
    <w:rsid w:val="3FD61700"/>
    <w:rsid w:val="3FD6F6F7"/>
    <w:rsid w:val="3FEB3DC7"/>
    <w:rsid w:val="3FED53C4"/>
    <w:rsid w:val="3FED9333"/>
    <w:rsid w:val="3FFA0C54"/>
    <w:rsid w:val="3FFDB788"/>
    <w:rsid w:val="3FFF2B61"/>
    <w:rsid w:val="402C7765"/>
    <w:rsid w:val="405829A0"/>
    <w:rsid w:val="412367E7"/>
    <w:rsid w:val="41777475"/>
    <w:rsid w:val="41FE7989"/>
    <w:rsid w:val="42541D49"/>
    <w:rsid w:val="425A4792"/>
    <w:rsid w:val="42C615B8"/>
    <w:rsid w:val="43EF3A59"/>
    <w:rsid w:val="446E40E1"/>
    <w:rsid w:val="452E3F3A"/>
    <w:rsid w:val="453C23EB"/>
    <w:rsid w:val="458637C9"/>
    <w:rsid w:val="459C3EC8"/>
    <w:rsid w:val="45D92354"/>
    <w:rsid w:val="46712E3F"/>
    <w:rsid w:val="468123C6"/>
    <w:rsid w:val="478B071E"/>
    <w:rsid w:val="47A76F76"/>
    <w:rsid w:val="47AA76FA"/>
    <w:rsid w:val="486A6E89"/>
    <w:rsid w:val="48842604"/>
    <w:rsid w:val="495771D0"/>
    <w:rsid w:val="4A384F2F"/>
    <w:rsid w:val="4A4B68E6"/>
    <w:rsid w:val="4AC400D6"/>
    <w:rsid w:val="4AD78015"/>
    <w:rsid w:val="4B9BCA1F"/>
    <w:rsid w:val="4BF3F4FC"/>
    <w:rsid w:val="4C931A35"/>
    <w:rsid w:val="4CCA161F"/>
    <w:rsid w:val="4CD56965"/>
    <w:rsid w:val="4DBA677D"/>
    <w:rsid w:val="4DFFDBF3"/>
    <w:rsid w:val="4E2E2E77"/>
    <w:rsid w:val="4EFFC89D"/>
    <w:rsid w:val="4F224B85"/>
    <w:rsid w:val="4F855F6C"/>
    <w:rsid w:val="4FAD52E1"/>
    <w:rsid w:val="4FFECF2A"/>
    <w:rsid w:val="4FFEEB9C"/>
    <w:rsid w:val="51C8084C"/>
    <w:rsid w:val="51EE43E5"/>
    <w:rsid w:val="527F5BBF"/>
    <w:rsid w:val="52F440BB"/>
    <w:rsid w:val="53650979"/>
    <w:rsid w:val="53656BCB"/>
    <w:rsid w:val="5377046D"/>
    <w:rsid w:val="54792E5B"/>
    <w:rsid w:val="54B03E76"/>
    <w:rsid w:val="55BF102D"/>
    <w:rsid w:val="567C05A5"/>
    <w:rsid w:val="56F1709B"/>
    <w:rsid w:val="576F9621"/>
    <w:rsid w:val="57D73488"/>
    <w:rsid w:val="57DEB1C5"/>
    <w:rsid w:val="57FFC7AD"/>
    <w:rsid w:val="5815545E"/>
    <w:rsid w:val="590B1FC3"/>
    <w:rsid w:val="59E21710"/>
    <w:rsid w:val="59FF5615"/>
    <w:rsid w:val="5A5F25C6"/>
    <w:rsid w:val="5A6B5652"/>
    <w:rsid w:val="5AEC372E"/>
    <w:rsid w:val="5B3DC9C5"/>
    <w:rsid w:val="5B902172"/>
    <w:rsid w:val="5BAF265E"/>
    <w:rsid w:val="5BBA4A51"/>
    <w:rsid w:val="5BE44D2B"/>
    <w:rsid w:val="5BEB4AEC"/>
    <w:rsid w:val="5BF226BA"/>
    <w:rsid w:val="5BF7AE64"/>
    <w:rsid w:val="5BFD3ECE"/>
    <w:rsid w:val="5BFF38CA"/>
    <w:rsid w:val="5C425CFC"/>
    <w:rsid w:val="5C5B458B"/>
    <w:rsid w:val="5C5D2B35"/>
    <w:rsid w:val="5CA44985"/>
    <w:rsid w:val="5CA6628F"/>
    <w:rsid w:val="5CC53F10"/>
    <w:rsid w:val="5CF05758"/>
    <w:rsid w:val="5CFA8158"/>
    <w:rsid w:val="5D1449F1"/>
    <w:rsid w:val="5D187B8B"/>
    <w:rsid w:val="5D221689"/>
    <w:rsid w:val="5D4440CC"/>
    <w:rsid w:val="5D4B4F12"/>
    <w:rsid w:val="5D585E0D"/>
    <w:rsid w:val="5DB724E8"/>
    <w:rsid w:val="5DBACAC3"/>
    <w:rsid w:val="5DBC10FE"/>
    <w:rsid w:val="5DBC388C"/>
    <w:rsid w:val="5DDB040C"/>
    <w:rsid w:val="5DF7BD8F"/>
    <w:rsid w:val="5E1DAC02"/>
    <w:rsid w:val="5EDEF2D3"/>
    <w:rsid w:val="5EFE52B1"/>
    <w:rsid w:val="5F39F6EA"/>
    <w:rsid w:val="5F5E8247"/>
    <w:rsid w:val="5F5FB7AD"/>
    <w:rsid w:val="5F6E852B"/>
    <w:rsid w:val="5F7D8EC4"/>
    <w:rsid w:val="5FBF79BA"/>
    <w:rsid w:val="5FBFC4AE"/>
    <w:rsid w:val="5FD0115B"/>
    <w:rsid w:val="5FD7D887"/>
    <w:rsid w:val="5FDE96ED"/>
    <w:rsid w:val="5FF238DA"/>
    <w:rsid w:val="5FF7D8BF"/>
    <w:rsid w:val="5FFA2647"/>
    <w:rsid w:val="5FFD559C"/>
    <w:rsid w:val="5FFE2FA1"/>
    <w:rsid w:val="5FFE644D"/>
    <w:rsid w:val="5FFF442D"/>
    <w:rsid w:val="5FFFA047"/>
    <w:rsid w:val="60AC7365"/>
    <w:rsid w:val="616109D2"/>
    <w:rsid w:val="620F6680"/>
    <w:rsid w:val="625028FE"/>
    <w:rsid w:val="634F5CBD"/>
    <w:rsid w:val="63520F1A"/>
    <w:rsid w:val="63785FAB"/>
    <w:rsid w:val="63F67009"/>
    <w:rsid w:val="64A60E9A"/>
    <w:rsid w:val="64EFCB89"/>
    <w:rsid w:val="655D1891"/>
    <w:rsid w:val="658F2C3D"/>
    <w:rsid w:val="65B71508"/>
    <w:rsid w:val="666601F2"/>
    <w:rsid w:val="6673B74C"/>
    <w:rsid w:val="668D34B7"/>
    <w:rsid w:val="66D17929"/>
    <w:rsid w:val="66FE77E7"/>
    <w:rsid w:val="6772DB8E"/>
    <w:rsid w:val="67C7D8D0"/>
    <w:rsid w:val="67DF7B62"/>
    <w:rsid w:val="67EFCF67"/>
    <w:rsid w:val="681749C9"/>
    <w:rsid w:val="685E210F"/>
    <w:rsid w:val="689D73CB"/>
    <w:rsid w:val="68A1294A"/>
    <w:rsid w:val="68BC5446"/>
    <w:rsid w:val="690F766A"/>
    <w:rsid w:val="691FFDF0"/>
    <w:rsid w:val="692B454E"/>
    <w:rsid w:val="69623539"/>
    <w:rsid w:val="69D92778"/>
    <w:rsid w:val="6B9B71D6"/>
    <w:rsid w:val="6BBF3A76"/>
    <w:rsid w:val="6BD54BF6"/>
    <w:rsid w:val="6BDC6C0D"/>
    <w:rsid w:val="6BE75FEE"/>
    <w:rsid w:val="6BF03D46"/>
    <w:rsid w:val="6BFC3DBB"/>
    <w:rsid w:val="6BFE7745"/>
    <w:rsid w:val="6BFF76C9"/>
    <w:rsid w:val="6C8574C7"/>
    <w:rsid w:val="6CCA35DE"/>
    <w:rsid w:val="6CFF0D67"/>
    <w:rsid w:val="6D301D37"/>
    <w:rsid w:val="6D655117"/>
    <w:rsid w:val="6DB3C645"/>
    <w:rsid w:val="6DCF2DB9"/>
    <w:rsid w:val="6DDB1B0C"/>
    <w:rsid w:val="6DDFD332"/>
    <w:rsid w:val="6DF4659B"/>
    <w:rsid w:val="6E7E62E4"/>
    <w:rsid w:val="6F9BA2C0"/>
    <w:rsid w:val="6FCF3268"/>
    <w:rsid w:val="6FE7312A"/>
    <w:rsid w:val="6FFACA3F"/>
    <w:rsid w:val="6FFDFA5E"/>
    <w:rsid w:val="70357BF9"/>
    <w:rsid w:val="70A64653"/>
    <w:rsid w:val="71BB119C"/>
    <w:rsid w:val="72EF5D13"/>
    <w:rsid w:val="73100812"/>
    <w:rsid w:val="73184557"/>
    <w:rsid w:val="737F6B67"/>
    <w:rsid w:val="738E5FA6"/>
    <w:rsid w:val="73AF5602"/>
    <w:rsid w:val="73DCE34C"/>
    <w:rsid w:val="73EE7E16"/>
    <w:rsid w:val="73EF47B0"/>
    <w:rsid w:val="73FC3CE5"/>
    <w:rsid w:val="73FEA771"/>
    <w:rsid w:val="741E64FA"/>
    <w:rsid w:val="747D56CB"/>
    <w:rsid w:val="747F2590"/>
    <w:rsid w:val="757781FF"/>
    <w:rsid w:val="7597AA44"/>
    <w:rsid w:val="75CF01FA"/>
    <w:rsid w:val="75EF438A"/>
    <w:rsid w:val="75F2A555"/>
    <w:rsid w:val="75FEF1FB"/>
    <w:rsid w:val="75FFC51F"/>
    <w:rsid w:val="765A7FEE"/>
    <w:rsid w:val="76942D94"/>
    <w:rsid w:val="76B17B2A"/>
    <w:rsid w:val="771E39BF"/>
    <w:rsid w:val="774AD2C9"/>
    <w:rsid w:val="777F6EB7"/>
    <w:rsid w:val="77802537"/>
    <w:rsid w:val="77878E92"/>
    <w:rsid w:val="77CFC141"/>
    <w:rsid w:val="77DF0B7F"/>
    <w:rsid w:val="77DF2A9A"/>
    <w:rsid w:val="77F520F0"/>
    <w:rsid w:val="77F5DB60"/>
    <w:rsid w:val="784A3167"/>
    <w:rsid w:val="78CF1ADD"/>
    <w:rsid w:val="78D5575F"/>
    <w:rsid w:val="794A0ECC"/>
    <w:rsid w:val="798D5B37"/>
    <w:rsid w:val="79935EC5"/>
    <w:rsid w:val="79A13C0A"/>
    <w:rsid w:val="79DF0A54"/>
    <w:rsid w:val="79E85CDC"/>
    <w:rsid w:val="79EFCAEE"/>
    <w:rsid w:val="7A0D129F"/>
    <w:rsid w:val="7A4528A9"/>
    <w:rsid w:val="7A6B809F"/>
    <w:rsid w:val="7A9D3754"/>
    <w:rsid w:val="7AAC93E2"/>
    <w:rsid w:val="7AB4ABE2"/>
    <w:rsid w:val="7AE53FCA"/>
    <w:rsid w:val="7AF23840"/>
    <w:rsid w:val="7AF725BF"/>
    <w:rsid w:val="7B474191"/>
    <w:rsid w:val="7B8B0794"/>
    <w:rsid w:val="7BBEEF6F"/>
    <w:rsid w:val="7BBF4E77"/>
    <w:rsid w:val="7BDF9672"/>
    <w:rsid w:val="7BEB8502"/>
    <w:rsid w:val="7C1F52BA"/>
    <w:rsid w:val="7CE78807"/>
    <w:rsid w:val="7CFE5D09"/>
    <w:rsid w:val="7D59E85B"/>
    <w:rsid w:val="7D6F8B8E"/>
    <w:rsid w:val="7D9DAFD2"/>
    <w:rsid w:val="7DA61F6B"/>
    <w:rsid w:val="7DBF8756"/>
    <w:rsid w:val="7DDE185A"/>
    <w:rsid w:val="7DE19249"/>
    <w:rsid w:val="7DEB1FE4"/>
    <w:rsid w:val="7DEF69A5"/>
    <w:rsid w:val="7DFDAADB"/>
    <w:rsid w:val="7DFF3023"/>
    <w:rsid w:val="7DFF7CF4"/>
    <w:rsid w:val="7E4017B8"/>
    <w:rsid w:val="7E783DD7"/>
    <w:rsid w:val="7E7A8547"/>
    <w:rsid w:val="7E7F4604"/>
    <w:rsid w:val="7E7FBFA5"/>
    <w:rsid w:val="7EA18440"/>
    <w:rsid w:val="7EB3E91C"/>
    <w:rsid w:val="7EBD1C74"/>
    <w:rsid w:val="7ECD33A6"/>
    <w:rsid w:val="7EDDAD32"/>
    <w:rsid w:val="7EDF1178"/>
    <w:rsid w:val="7EE9DCBD"/>
    <w:rsid w:val="7EEBA46D"/>
    <w:rsid w:val="7EED2E7C"/>
    <w:rsid w:val="7EF42789"/>
    <w:rsid w:val="7EFAD5EC"/>
    <w:rsid w:val="7EFD2110"/>
    <w:rsid w:val="7EFE5798"/>
    <w:rsid w:val="7EFF2E9A"/>
    <w:rsid w:val="7EFF3845"/>
    <w:rsid w:val="7EFF8BBA"/>
    <w:rsid w:val="7F08A688"/>
    <w:rsid w:val="7F1E3F4E"/>
    <w:rsid w:val="7F493520"/>
    <w:rsid w:val="7F631975"/>
    <w:rsid w:val="7F67A20C"/>
    <w:rsid w:val="7F6FA543"/>
    <w:rsid w:val="7F77BB36"/>
    <w:rsid w:val="7F7F2D48"/>
    <w:rsid w:val="7F7F68F9"/>
    <w:rsid w:val="7FAEE0ED"/>
    <w:rsid w:val="7FB94518"/>
    <w:rsid w:val="7FB9B132"/>
    <w:rsid w:val="7FBB9CDA"/>
    <w:rsid w:val="7FBDA88F"/>
    <w:rsid w:val="7FBF8BDD"/>
    <w:rsid w:val="7FDEADD4"/>
    <w:rsid w:val="7FE74C70"/>
    <w:rsid w:val="7FEE38DB"/>
    <w:rsid w:val="7FEF2B28"/>
    <w:rsid w:val="7FEF59DC"/>
    <w:rsid w:val="7FEF6E2D"/>
    <w:rsid w:val="7FF39651"/>
    <w:rsid w:val="7FF40EAB"/>
    <w:rsid w:val="7FF59C8D"/>
    <w:rsid w:val="7FF68307"/>
    <w:rsid w:val="7FFA68FA"/>
    <w:rsid w:val="7FFB3D08"/>
    <w:rsid w:val="7FFC7470"/>
    <w:rsid w:val="7FFD3BCB"/>
    <w:rsid w:val="7FFF0D6D"/>
    <w:rsid w:val="7FFFE876"/>
    <w:rsid w:val="8AFF51F7"/>
    <w:rsid w:val="8EA5D763"/>
    <w:rsid w:val="8EAC474D"/>
    <w:rsid w:val="8FFD9013"/>
    <w:rsid w:val="95CF0484"/>
    <w:rsid w:val="993964D6"/>
    <w:rsid w:val="9BEF8A3C"/>
    <w:rsid w:val="9C7FBBD4"/>
    <w:rsid w:val="9CD6ECC7"/>
    <w:rsid w:val="9CFA2FD7"/>
    <w:rsid w:val="9F7F4897"/>
    <w:rsid w:val="9FA557D8"/>
    <w:rsid w:val="A7DE1CFE"/>
    <w:rsid w:val="AB7EDF29"/>
    <w:rsid w:val="AC3F8F7D"/>
    <w:rsid w:val="AD2BA6C7"/>
    <w:rsid w:val="ADFBEE59"/>
    <w:rsid w:val="ADFDB805"/>
    <w:rsid w:val="AF5D9786"/>
    <w:rsid w:val="AFA542C9"/>
    <w:rsid w:val="AFBFB5D7"/>
    <w:rsid w:val="AFFB004C"/>
    <w:rsid w:val="AFFE2F99"/>
    <w:rsid w:val="B1F90BC6"/>
    <w:rsid w:val="B3E1468C"/>
    <w:rsid w:val="B4ABB8DD"/>
    <w:rsid w:val="B53ADB46"/>
    <w:rsid w:val="B77A63C9"/>
    <w:rsid w:val="B7B98E95"/>
    <w:rsid w:val="B7DF0851"/>
    <w:rsid w:val="B7F66C31"/>
    <w:rsid w:val="B7F6F126"/>
    <w:rsid w:val="B9BD2CA5"/>
    <w:rsid w:val="BA4ED036"/>
    <w:rsid w:val="BAFFDC76"/>
    <w:rsid w:val="BC0FD70B"/>
    <w:rsid w:val="BC7D452E"/>
    <w:rsid w:val="BD7E9C32"/>
    <w:rsid w:val="BD7F6BF6"/>
    <w:rsid w:val="BDEBE14B"/>
    <w:rsid w:val="BDF33337"/>
    <w:rsid w:val="BDF64CAB"/>
    <w:rsid w:val="BEDB812E"/>
    <w:rsid w:val="BEF96A91"/>
    <w:rsid w:val="BEFABE3D"/>
    <w:rsid w:val="BEFFEF3C"/>
    <w:rsid w:val="BF5FA617"/>
    <w:rsid w:val="BF77F9A5"/>
    <w:rsid w:val="BFCF417A"/>
    <w:rsid w:val="BFED0E86"/>
    <w:rsid w:val="BFF64A10"/>
    <w:rsid w:val="BFFBC754"/>
    <w:rsid w:val="BFFFE572"/>
    <w:rsid w:val="C6BF726C"/>
    <w:rsid w:val="C7FDA5B6"/>
    <w:rsid w:val="CABF2EB6"/>
    <w:rsid w:val="CB7DAAE5"/>
    <w:rsid w:val="CC274B61"/>
    <w:rsid w:val="CDFA6E3F"/>
    <w:rsid w:val="CDFFD42D"/>
    <w:rsid w:val="CF65A634"/>
    <w:rsid w:val="CFA7DF8A"/>
    <w:rsid w:val="CFDEB12C"/>
    <w:rsid w:val="CFEF3240"/>
    <w:rsid w:val="CFF7B195"/>
    <w:rsid w:val="D1FFECEF"/>
    <w:rsid w:val="D27A1AC5"/>
    <w:rsid w:val="D37DAF76"/>
    <w:rsid w:val="D5FDD5A3"/>
    <w:rsid w:val="D63F8D3B"/>
    <w:rsid w:val="D6FB0C85"/>
    <w:rsid w:val="D71FAE8F"/>
    <w:rsid w:val="D77AE07A"/>
    <w:rsid w:val="D7FB48E0"/>
    <w:rsid w:val="D7FB6B6D"/>
    <w:rsid w:val="D7FF8AA4"/>
    <w:rsid w:val="D7FFB12A"/>
    <w:rsid w:val="D94B7B7D"/>
    <w:rsid w:val="D96F29E4"/>
    <w:rsid w:val="D9FF4541"/>
    <w:rsid w:val="DBDF6397"/>
    <w:rsid w:val="DBF4688F"/>
    <w:rsid w:val="DBF62446"/>
    <w:rsid w:val="DCA719A5"/>
    <w:rsid w:val="DDF91545"/>
    <w:rsid w:val="DDF9973E"/>
    <w:rsid w:val="DDFA62D1"/>
    <w:rsid w:val="DDFC5520"/>
    <w:rsid w:val="DDFD3BE5"/>
    <w:rsid w:val="DDFF0855"/>
    <w:rsid w:val="DDFFA129"/>
    <w:rsid w:val="DED636DD"/>
    <w:rsid w:val="DEEF4A17"/>
    <w:rsid w:val="DF5FDC14"/>
    <w:rsid w:val="DF641611"/>
    <w:rsid w:val="DF7A6281"/>
    <w:rsid w:val="DF7BE8D7"/>
    <w:rsid w:val="DF7F72EC"/>
    <w:rsid w:val="DF7FCEF0"/>
    <w:rsid w:val="DFB6DA61"/>
    <w:rsid w:val="DFBF01DB"/>
    <w:rsid w:val="DFD6ED45"/>
    <w:rsid w:val="DFD90B0D"/>
    <w:rsid w:val="DFEF971A"/>
    <w:rsid w:val="DFF31A84"/>
    <w:rsid w:val="DFFD4515"/>
    <w:rsid w:val="DFFF2D70"/>
    <w:rsid w:val="DFFF3C1C"/>
    <w:rsid w:val="DFFFF8FB"/>
    <w:rsid w:val="E57B5E54"/>
    <w:rsid w:val="E67DCA92"/>
    <w:rsid w:val="E6F95382"/>
    <w:rsid w:val="E6FFC332"/>
    <w:rsid w:val="E7631EA0"/>
    <w:rsid w:val="E7772327"/>
    <w:rsid w:val="E79E171E"/>
    <w:rsid w:val="E87F4AB5"/>
    <w:rsid w:val="E9BE888B"/>
    <w:rsid w:val="EAFE38F5"/>
    <w:rsid w:val="EB3F20A5"/>
    <w:rsid w:val="EBDFE9A1"/>
    <w:rsid w:val="ECBF8536"/>
    <w:rsid w:val="EDF75D3F"/>
    <w:rsid w:val="EEB97449"/>
    <w:rsid w:val="EEFD3180"/>
    <w:rsid w:val="EF477A03"/>
    <w:rsid w:val="EF5B68FE"/>
    <w:rsid w:val="EF875982"/>
    <w:rsid w:val="EFAF04B6"/>
    <w:rsid w:val="EFAFD4C7"/>
    <w:rsid w:val="EFB3E912"/>
    <w:rsid w:val="EFB711F0"/>
    <w:rsid w:val="EFBFBCBA"/>
    <w:rsid w:val="EFDB42FD"/>
    <w:rsid w:val="EFEC16F9"/>
    <w:rsid w:val="EFEF0D1B"/>
    <w:rsid w:val="EFF6AADA"/>
    <w:rsid w:val="EFFE5251"/>
    <w:rsid w:val="F13B88A7"/>
    <w:rsid w:val="F17FDF7E"/>
    <w:rsid w:val="F25FBE89"/>
    <w:rsid w:val="F2BFF679"/>
    <w:rsid w:val="F2DF7AB1"/>
    <w:rsid w:val="F2F106AC"/>
    <w:rsid w:val="F31C466C"/>
    <w:rsid w:val="F3DF1929"/>
    <w:rsid w:val="F43BB36A"/>
    <w:rsid w:val="F4DC8A27"/>
    <w:rsid w:val="F4F96286"/>
    <w:rsid w:val="F57BA65B"/>
    <w:rsid w:val="F57E2794"/>
    <w:rsid w:val="F5DD8FC0"/>
    <w:rsid w:val="F66FCCA9"/>
    <w:rsid w:val="F6A851BE"/>
    <w:rsid w:val="F6BF0F20"/>
    <w:rsid w:val="F6E5794E"/>
    <w:rsid w:val="F6EF9FD4"/>
    <w:rsid w:val="F7763FA0"/>
    <w:rsid w:val="F77D4FBC"/>
    <w:rsid w:val="F79D96A9"/>
    <w:rsid w:val="F7A38BE3"/>
    <w:rsid w:val="F7CB8307"/>
    <w:rsid w:val="F7DEA376"/>
    <w:rsid w:val="F7DFD4AE"/>
    <w:rsid w:val="F7EBB259"/>
    <w:rsid w:val="F7F58569"/>
    <w:rsid w:val="F7FFAE97"/>
    <w:rsid w:val="F93EA1FE"/>
    <w:rsid w:val="F9BB1CAE"/>
    <w:rsid w:val="F9DF2B91"/>
    <w:rsid w:val="FAC80A2E"/>
    <w:rsid w:val="FAF13400"/>
    <w:rsid w:val="FAFC3243"/>
    <w:rsid w:val="FB79DD55"/>
    <w:rsid w:val="FB9F8859"/>
    <w:rsid w:val="FBBBED97"/>
    <w:rsid w:val="FBEB4917"/>
    <w:rsid w:val="FBECC571"/>
    <w:rsid w:val="FBF669E5"/>
    <w:rsid w:val="FBF7F75D"/>
    <w:rsid w:val="FCB37ED2"/>
    <w:rsid w:val="FCF71379"/>
    <w:rsid w:val="FCFBB3B8"/>
    <w:rsid w:val="FCFF1D9A"/>
    <w:rsid w:val="FD7F6DB2"/>
    <w:rsid w:val="FDA70AA3"/>
    <w:rsid w:val="FDB563EA"/>
    <w:rsid w:val="FDBF68EC"/>
    <w:rsid w:val="FDBF969E"/>
    <w:rsid w:val="FDBFB0B5"/>
    <w:rsid w:val="FDC73C27"/>
    <w:rsid w:val="FDDFFF16"/>
    <w:rsid w:val="FDF7AAB8"/>
    <w:rsid w:val="FDFDEE32"/>
    <w:rsid w:val="FDFFDE7E"/>
    <w:rsid w:val="FE7F6E23"/>
    <w:rsid w:val="FE7FF867"/>
    <w:rsid w:val="FEB80312"/>
    <w:rsid w:val="FECF4FE1"/>
    <w:rsid w:val="FEDF600B"/>
    <w:rsid w:val="FEF9E119"/>
    <w:rsid w:val="FEFB539B"/>
    <w:rsid w:val="FF3E3A99"/>
    <w:rsid w:val="FF5A2CB5"/>
    <w:rsid w:val="FF6F7689"/>
    <w:rsid w:val="FF72A95F"/>
    <w:rsid w:val="FF7E5DAD"/>
    <w:rsid w:val="FF7F5AB8"/>
    <w:rsid w:val="FF7F7667"/>
    <w:rsid w:val="FF905C1A"/>
    <w:rsid w:val="FFAF08B0"/>
    <w:rsid w:val="FFB605F3"/>
    <w:rsid w:val="FFBE685F"/>
    <w:rsid w:val="FFBEE60E"/>
    <w:rsid w:val="FFDB402C"/>
    <w:rsid w:val="FFDB9940"/>
    <w:rsid w:val="FFDCD5F8"/>
    <w:rsid w:val="FFDDB0D8"/>
    <w:rsid w:val="FFDF481A"/>
    <w:rsid w:val="FFEF7729"/>
    <w:rsid w:val="FFF12F3B"/>
    <w:rsid w:val="FFF3C591"/>
    <w:rsid w:val="FFF9F3F3"/>
    <w:rsid w:val="FFFBEE0D"/>
    <w:rsid w:val="FFFE8FAA"/>
    <w:rsid w:val="FFFF1D4F"/>
    <w:rsid w:val="FFFF2B7C"/>
    <w:rsid w:val="FFFF65B2"/>
    <w:rsid w:val="FFFF68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annotation text"/>
    <w:basedOn w:val="1"/>
    <w:qFormat/>
    <w:uiPriority w:val="0"/>
    <w:pPr>
      <w:jc w:val="left"/>
    </w:pPr>
  </w:style>
  <w:style w:type="paragraph" w:styleId="4">
    <w:name w:val="Body Text"/>
    <w:basedOn w:val="1"/>
    <w:next w:val="5"/>
    <w:qFormat/>
    <w:uiPriority w:val="0"/>
    <w:rPr>
      <w:rFonts w:ascii="Calibri" w:hAnsi="Calibri"/>
    </w:rPr>
  </w:style>
  <w:style w:type="paragraph" w:styleId="5">
    <w:name w:val="Title"/>
    <w:basedOn w:val="1"/>
    <w:next w:val="1"/>
    <w:qFormat/>
    <w:uiPriority w:val="0"/>
    <w:pPr>
      <w:spacing w:line="620" w:lineRule="exact"/>
      <w:ind w:firstLine="200" w:firstLineChars="200"/>
      <w:outlineLvl w:val="1"/>
    </w:pPr>
    <w:rPr>
      <w:rFonts w:ascii="楷体_GB2312" w:eastAsia="楷体_GB2312"/>
      <w:b/>
      <w:bCs/>
      <w:sz w:val="32"/>
      <w:szCs w:val="32"/>
    </w:rPr>
  </w:style>
  <w:style w:type="paragraph" w:styleId="6">
    <w:name w:val="Plain Text"/>
    <w:basedOn w:val="1"/>
    <w:next w:val="2"/>
    <w:qFormat/>
    <w:uiPriority w:val="0"/>
    <w:rPr>
      <w:rFonts w:ascii="宋体" w:hAnsi="Courier New" w:cstheme="minorBidi"/>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纯文本1"/>
    <w:basedOn w:val="1"/>
    <w:qFormat/>
    <w:uiPriority w:val="0"/>
    <w:rPr>
      <w:rFonts w:ascii="宋体" w:hAnsi="Courier New" w:cs="Courier Ne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6173</Words>
  <Characters>6365</Characters>
  <TotalTime>14</TotalTime>
  <ScaleCrop>false</ScaleCrop>
  <LinksUpToDate>false</LinksUpToDate>
  <CharactersWithSpaces>6406</CharactersWithSpaces>
  <Application>WPS Office_11.8.2.12128_F1E327BC-269C-435d-A152-05C5408002CA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2024-09-07T13:42:00Z</dcterms:created>
  <dc:creator>gxj</dc:creator>
  <cp:lastModifiedBy>张慧敏</cp:lastModifiedBy>
  <cp:lastPrinted>2024-09-05T10:23:00Z</cp:lastPrinted>
  <dcterms:modified xsi:type="dcterms:W3CDTF">2025-05-30T14:29:39Z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21FE29C2795A577EC2E0A26782CE3ABE</vt:lpwstr>
  </property>
  <property fmtid="{D5CDD505-2E9C-101B-9397-08002B2CF9AE}" pid="4" name="KSOTemplateDocerSaveRecord">
    <vt:lpwstr>eyJoZGlkIjoiNDAzNjM4Yzg0YTJjNmVlMDFmNDJlMjRkZGVkY2M5MGIiLCJ1c2VySWQiOiIxMzc4NjUxMzYxIn0=</vt:lpwstr>
  </property>
</Properties>
</file>