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采购评分表</w:t>
      </w:r>
    </w:p>
    <w:tbl>
      <w:tblPr>
        <w:tblStyle w:val="6"/>
        <w:tblpPr w:leftFromText="180" w:rightFromText="180" w:vertAnchor="text" w:horzAnchor="page" w:tblpXSpec="center" w:tblpY="292"/>
        <w:tblW w:w="9164" w:type="dxa"/>
        <w:jc w:val="center"/>
        <w:tblLayout w:type="fixed"/>
        <w:tblCellMar>
          <w:top w:w="0" w:type="dxa"/>
          <w:left w:w="0" w:type="dxa"/>
          <w:bottom w:w="0" w:type="dxa"/>
          <w:right w:w="0" w:type="dxa"/>
        </w:tblCellMar>
      </w:tblPr>
      <w:tblGrid>
        <w:gridCol w:w="299"/>
        <w:gridCol w:w="3510"/>
        <w:gridCol w:w="1065"/>
        <w:gridCol w:w="1065"/>
        <w:gridCol w:w="1230"/>
        <w:gridCol w:w="960"/>
        <w:gridCol w:w="1035"/>
      </w:tblGrid>
      <w:tr>
        <w:tblPrEx>
          <w:tblCellMar>
            <w:top w:w="0" w:type="dxa"/>
            <w:left w:w="0" w:type="dxa"/>
            <w:bottom w:w="0" w:type="dxa"/>
            <w:right w:w="0" w:type="dxa"/>
          </w:tblCellMar>
        </w:tblPrEx>
        <w:trPr>
          <w:trHeight w:val="125" w:hRule="atLeast"/>
          <w:jc w:val="center"/>
        </w:trPr>
        <w:tc>
          <w:tcPr>
            <w:tcW w:w="916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N/>
              <w:bidi w:val="0"/>
              <w:adjustRightInd/>
              <w:snapToGrid w:val="0"/>
              <w:spacing w:line="560" w:lineRule="exact"/>
              <w:textAlignment w:val="auto"/>
              <w:rPr>
                <w:rFonts w:hint="eastAsia" w:ascii="仿宋_GB2312" w:hAnsi="仿宋_GB2312" w:eastAsia="仿宋_GB2312" w:cs="仿宋_GB2312"/>
                <w:kern w:val="0"/>
                <w:sz w:val="28"/>
                <w:szCs w:val="28"/>
              </w:rPr>
            </w:pPr>
            <w:r>
              <w:rPr>
                <w:rFonts w:hint="default" w:eastAsia="仿宋_GB2312" w:cs="仿宋_GB2312" w:asciiTheme="minorAscii" w:hAnsiTheme="minorAscii"/>
                <w:kern w:val="0"/>
                <w:sz w:val="24"/>
                <w:szCs w:val="24"/>
              </w:rPr>
              <w:t>项目名称：</w:t>
            </w:r>
            <w:r>
              <w:rPr>
                <w:rFonts w:hint="default" w:eastAsia="仿宋_GB2312" w:cs="仿宋_GB2312" w:asciiTheme="minorAscii" w:hAnsiTheme="minorAscii"/>
                <w:kern w:val="0"/>
                <w:sz w:val="24"/>
                <w:szCs w:val="24"/>
                <w:lang w:val="en-US" w:eastAsia="zh-CN"/>
              </w:rPr>
              <w:t>202</w:t>
            </w:r>
            <w:r>
              <w:rPr>
                <w:rFonts w:hint="eastAsia" w:eastAsia="仿宋_GB2312" w:cs="仿宋_GB2312" w:asciiTheme="minorAscii" w:hAnsiTheme="minorAscii"/>
                <w:kern w:val="0"/>
                <w:sz w:val="24"/>
                <w:szCs w:val="24"/>
                <w:lang w:val="en-US" w:eastAsia="zh-CN"/>
              </w:rPr>
              <w:t>5</w:t>
            </w:r>
            <w:r>
              <w:rPr>
                <w:rFonts w:hint="default" w:eastAsia="仿宋_GB2312" w:cs="仿宋_GB2312" w:asciiTheme="minorAscii" w:hAnsiTheme="minorAscii"/>
                <w:kern w:val="0"/>
                <w:sz w:val="24"/>
                <w:szCs w:val="24"/>
                <w:lang w:val="en-US" w:eastAsia="zh-CN"/>
              </w:rPr>
              <w:t>-202</w:t>
            </w:r>
            <w:r>
              <w:rPr>
                <w:rFonts w:hint="eastAsia" w:eastAsia="仿宋_GB2312" w:cs="仿宋_GB2312" w:asciiTheme="minorAscii" w:hAnsiTheme="minorAscii"/>
                <w:kern w:val="0"/>
                <w:sz w:val="24"/>
                <w:szCs w:val="24"/>
                <w:lang w:val="en-US" w:eastAsia="zh-CN"/>
              </w:rPr>
              <w:t>6</w:t>
            </w:r>
            <w:r>
              <w:rPr>
                <w:rFonts w:hint="default" w:eastAsia="仿宋_GB2312" w:cs="仿宋_GB2312" w:asciiTheme="minorAscii" w:hAnsiTheme="minorAscii"/>
                <w:kern w:val="0"/>
                <w:sz w:val="24"/>
                <w:szCs w:val="24"/>
                <w:lang w:val="en-US" w:eastAsia="zh-CN"/>
              </w:rPr>
              <w:t>年度罗湖区科技和工业信息化局安全生产检查服务项目</w:t>
            </w:r>
          </w:p>
        </w:tc>
      </w:tr>
      <w:tr>
        <w:tblPrEx>
          <w:tblCellMar>
            <w:top w:w="0" w:type="dxa"/>
            <w:left w:w="0" w:type="dxa"/>
            <w:bottom w:w="0" w:type="dxa"/>
            <w:right w:w="0" w:type="dxa"/>
          </w:tblCellMar>
        </w:tblPrEx>
        <w:trPr>
          <w:trHeight w:val="1134" w:hRule="atLeast"/>
          <w:jc w:val="center"/>
        </w:trPr>
        <w:tc>
          <w:tcPr>
            <w:tcW w:w="299"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4"/>
                <w:szCs w:val="24"/>
              </w:rPr>
              <w:t>序号</w:t>
            </w:r>
          </w:p>
        </w:tc>
        <w:tc>
          <w:tcPr>
            <w:tcW w:w="3510" w:type="dxa"/>
            <w:tcBorders>
              <w:top w:val="single" w:color="auto" w:sz="4" w:space="0"/>
              <w:left w:val="single" w:color="auto" w:sz="4" w:space="0"/>
              <w:bottom w:val="single" w:color="auto" w:sz="4" w:space="0"/>
              <w:right w:val="single" w:color="auto" w:sz="4" w:space="0"/>
            </w:tcBorders>
            <w:vAlign w:val="center"/>
            <mc:AlternateContent>
              <mc:Choice Requires="wpsCustomData">
                <wpsCustomData:diagonals>
                  <wpsCustomData:diagonal from="10000" to="32300">
                    <wpsCustomData:border w:val="single" w:color="auto" w:sz="4" w:space="0"/>
                  </wpsCustomData:diagonal>
                  <wpsCustomData:diagonal from="10000" to="27900">
                    <wpsCustomData:border w:val="single" w:color="auto" w:sz="4" w:space="0"/>
                  </wpsCustomData:diagonal>
                </wpsCustomData:diagonals>
              </mc:Choice>
            </mc:AlternateContent>
          </w:tcPr>
          <w:p>
            <w:pPr>
              <w:widowControl/>
              <w:snapToGrid w:val="0"/>
              <w:jc w:val="left"/>
              <w:rPr>
                <w:rFonts w:hint="eastAsia"/>
              </w:rPr>
            </w:pPr>
          </w:p>
          <w:p>
            <w:pPr>
              <w:pStyle w:val="2"/>
              <w:rPr>
                <w:rFonts w:hint="eastAsia"/>
                <w:lang w:eastAsia="zh-CN"/>
              </w:rPr>
            </w:pPr>
          </w:p>
          <w:p>
            <w:pPr>
              <w:pStyle w:val="2"/>
              <w:ind w:firstLine="210" w:firstLineChars="100"/>
              <mc:AlternateContent>
                <mc:Choice Requires="wpsCustomData">
                  <wpsCustomData:diagonalParaType/>
                </mc:Choice>
              </mc:AlternateContent>
              <w:rPr>
                <w:rFonts w:hint="eastAsia"/>
                <w:lang w:val="en-US"/>
              </w:rPr>
            </w:pPr>
            <w:r>
              <w:rPr>
                <w:rFonts w:hint="eastAsia"/>
                <w:lang w:eastAsia="zh-CN"/>
              </w:rPr>
              <w:t>评标内容</w:t>
            </w:r>
          </w:p>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lang w:val="en-US" w:eastAsia="zh-CN"/>
              </w:rPr>
            </w:pPr>
            <w:r>
              <w:rPr>
                <w:rFonts w:hint="eastAsia"/>
                <w:lang w:val="en-US" w:eastAsia="zh-CN"/>
              </w:rPr>
              <w:t>分数</w:t>
            </w:r>
          </w:p>
          <w:p>
            <w:pPr>
              <w:widowControl/>
              <w:snapToGrid w:val="0"/>
              <w:jc w:val="left"/>
              <mc:AlternateContent>
                <mc:Choice Requires="wpsCustomData">
                  <wpsCustomData:diagonalParaType/>
                </mc:Choice>
              </mc:AlternateContent>
              <w:rPr>
                <w:rFonts w:hint="eastAsia"/>
              </w:rPr>
            </w:pPr>
          </w:p>
          <w:p>
            <w:pPr>
              <w:widowControl/>
              <w:jc w:val="left"/>
              <w:rPr>
                <w:rFonts w:hint="eastAsia"/>
                <w:lang w:val="en-US" w:eastAsia="zh-CN"/>
              </w:rPr>
            </w:pPr>
            <w:r>
              <w:rPr>
                <w:rFonts w:hint="eastAsia"/>
                <w:lang w:val="en-US" w:eastAsia="zh-CN"/>
              </w:rPr>
              <w:t xml:space="preserve">   供应商名称（应标金额 单位 元）</w:t>
            </w:r>
          </w:p>
          <w:p>
            <w:pPr>
              <w:pStyle w:val="2"/>
              <w:rPr>
                <w:rFonts w:hint="eastAsia"/>
                <w:lang w:val="en-US" w:eastAsia="zh-CN"/>
              </w:rPr>
            </w:pPr>
            <w:r>
              <w:rPr>
                <w:rFonts w:hint="eastAsia"/>
                <w:lang w:val="en-US" w:eastAsia="zh-CN"/>
              </w:rPr>
              <w:t>应标金额（元）</w:t>
            </w:r>
          </w:p>
          <w:p>
            <w:pPr>
              <w:pStyle w:val="2"/>
              <w:rPr>
                <w:rFonts w:hint="eastAsia"/>
                <w:lang w:val="en-US" w:eastAsia="zh-CN"/>
              </w:rPr>
            </w:pPr>
          </w:p>
          <w:p>
            <w:pPr>
              <w:pStyle w:val="2"/>
              <w:rPr>
                <w:rFonts w:hint="eastAsia"/>
                <w:lang w:val="en-US" w:eastAsia="zh-CN"/>
              </w:rPr>
            </w:pPr>
            <w:r>
              <w:rPr>
                <w:rFonts w:hint="eastAsia"/>
                <w:lang w:val="en-US" w:eastAsia="zh-CN"/>
              </w:rPr>
              <w:t>分</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8"/>
                <w:szCs w:val="28"/>
                <w:lang w:eastAsia="zh-CN"/>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1"/>
                <w:szCs w:val="21"/>
                <w:lang w:val="en-US" w:eastAsia="zh-CN"/>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8"/>
                <w:szCs w:val="28"/>
                <w:lang w:eastAsia="zh-CN"/>
              </w:rPr>
            </w:pPr>
          </w:p>
        </w:tc>
        <w:tc>
          <w:tcPr>
            <w:tcW w:w="96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1"/>
                <w:szCs w:val="21"/>
                <w:lang w:val="en-US" w:eastAsia="zh-CN"/>
              </w:rPr>
            </w:pPr>
          </w:p>
        </w:tc>
        <w:tc>
          <w:tcPr>
            <w:tcW w:w="103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1"/>
                <w:szCs w:val="21"/>
                <w:lang w:val="en-US" w:eastAsia="zh-CN"/>
              </w:rPr>
            </w:pPr>
          </w:p>
        </w:tc>
      </w:tr>
      <w:tr>
        <w:tblPrEx>
          <w:tblCellMar>
            <w:top w:w="0" w:type="dxa"/>
            <w:left w:w="0" w:type="dxa"/>
            <w:bottom w:w="0" w:type="dxa"/>
            <w:right w:w="0" w:type="dxa"/>
          </w:tblCellMar>
        </w:tblPrEx>
        <w:trPr>
          <w:trHeight w:val="565" w:hRule="atLeast"/>
          <w:jc w:val="center"/>
        </w:trPr>
        <w:tc>
          <w:tcPr>
            <w:tcW w:w="9164" w:type="dxa"/>
            <w:gridSpan w:val="7"/>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黑体" w:hAnsi="黑体" w:eastAsia="黑体" w:cs="黑体"/>
                <w:b w:val="0"/>
                <w:bCs w:val="0"/>
                <w:kern w:val="0"/>
                <w:sz w:val="24"/>
                <w:szCs w:val="24"/>
                <w:lang w:val="en-US" w:eastAsia="zh-CN"/>
              </w:rPr>
            </w:pPr>
            <w:r>
              <w:rPr>
                <w:rFonts w:hint="eastAsia" w:ascii="黑体" w:hAnsi="黑体" w:eastAsia="黑体" w:cs="黑体"/>
                <w:b w:val="0"/>
                <w:bCs w:val="0"/>
                <w:kern w:val="0"/>
                <w:sz w:val="24"/>
                <w:szCs w:val="24"/>
                <w:lang w:val="en-US" w:eastAsia="zh-CN"/>
              </w:rPr>
              <w:t>一</w:t>
            </w:r>
            <w:r>
              <w:rPr>
                <w:rFonts w:hint="eastAsia" w:ascii="黑体" w:hAnsi="黑体" w:eastAsia="黑体" w:cs="黑体"/>
                <w:b w:val="0"/>
                <w:bCs w:val="0"/>
                <w:kern w:val="0"/>
                <w:sz w:val="24"/>
                <w:szCs w:val="24"/>
                <w:lang w:eastAsia="zh-CN"/>
              </w:rPr>
              <w:t>、</w:t>
            </w:r>
            <w:r>
              <w:rPr>
                <w:rFonts w:hint="eastAsia" w:ascii="黑体" w:hAnsi="黑体" w:eastAsia="黑体" w:cs="黑体"/>
                <w:b w:val="0"/>
                <w:bCs w:val="0"/>
                <w:kern w:val="0"/>
                <w:sz w:val="24"/>
                <w:szCs w:val="24"/>
                <w:lang w:val="en-US" w:eastAsia="zh-CN"/>
              </w:rPr>
              <w:t>中小微企业（总分5分）</w:t>
            </w:r>
          </w:p>
        </w:tc>
      </w:tr>
      <w:tr>
        <w:tblPrEx>
          <w:tblCellMar>
            <w:top w:w="0" w:type="dxa"/>
            <w:left w:w="0" w:type="dxa"/>
            <w:bottom w:w="0" w:type="dxa"/>
            <w:right w:w="0" w:type="dxa"/>
          </w:tblCellMar>
        </w:tblPrEx>
        <w:trPr>
          <w:trHeight w:val="1154" w:hRule="atLeast"/>
          <w:jc w:val="center"/>
        </w:trPr>
        <w:tc>
          <w:tcPr>
            <w:tcW w:w="299"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1</w:t>
            </w:r>
          </w:p>
        </w:tc>
        <w:tc>
          <w:tcPr>
            <w:tcW w:w="351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根据《深圳市政府采购支持企业复工复产共度难关若干措施》建议，政府采购优先选择中小微企业，所有中小微企业均得5分。</w:t>
            </w:r>
          </w:p>
        </w:tc>
        <w:tc>
          <w:tcPr>
            <w:tcW w:w="1065" w:type="dxa"/>
            <w:tcBorders>
              <w:top w:val="nil"/>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rPr>
            </w:pPr>
          </w:p>
        </w:tc>
        <w:tc>
          <w:tcPr>
            <w:tcW w:w="1065"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rPr>
            </w:pPr>
          </w:p>
        </w:tc>
        <w:tc>
          <w:tcPr>
            <w:tcW w:w="1230"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rPr>
            </w:pPr>
          </w:p>
        </w:tc>
        <w:tc>
          <w:tcPr>
            <w:tcW w:w="960"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rPr>
            </w:pPr>
          </w:p>
        </w:tc>
        <w:tc>
          <w:tcPr>
            <w:tcW w:w="1035"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rPr>
            </w:pPr>
          </w:p>
        </w:tc>
      </w:tr>
      <w:tr>
        <w:tblPrEx>
          <w:tblCellMar>
            <w:top w:w="0" w:type="dxa"/>
            <w:left w:w="0" w:type="dxa"/>
            <w:bottom w:w="0" w:type="dxa"/>
            <w:right w:w="0" w:type="dxa"/>
          </w:tblCellMar>
        </w:tblPrEx>
        <w:trPr>
          <w:trHeight w:val="562" w:hRule="atLeast"/>
          <w:jc w:val="center"/>
        </w:trPr>
        <w:tc>
          <w:tcPr>
            <w:tcW w:w="9164"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黑体" w:hAnsi="黑体" w:eastAsia="黑体" w:cs="黑体"/>
                <w:b w:val="0"/>
                <w:bCs w:val="0"/>
                <w:kern w:val="0"/>
                <w:sz w:val="24"/>
                <w:szCs w:val="24"/>
                <w:lang w:val="en-US" w:eastAsia="zh-CN"/>
              </w:rPr>
            </w:pPr>
            <w:r>
              <w:rPr>
                <w:rFonts w:hint="eastAsia" w:ascii="黑体" w:hAnsi="黑体" w:eastAsia="黑体" w:cs="黑体"/>
                <w:b w:val="0"/>
                <w:bCs w:val="0"/>
                <w:kern w:val="0"/>
                <w:sz w:val="24"/>
                <w:szCs w:val="24"/>
                <w:lang w:val="en-US" w:eastAsia="zh-CN"/>
              </w:rPr>
              <w:t>二、预算部分（总分15分）</w:t>
            </w:r>
          </w:p>
        </w:tc>
      </w:tr>
      <w:tr>
        <w:tblPrEx>
          <w:tblCellMar>
            <w:top w:w="0" w:type="dxa"/>
            <w:left w:w="0" w:type="dxa"/>
            <w:bottom w:w="0" w:type="dxa"/>
            <w:right w:w="0" w:type="dxa"/>
          </w:tblCellMar>
        </w:tblPrEx>
        <w:trPr>
          <w:trHeight w:val="1260" w:hRule="atLeast"/>
          <w:jc w:val="center"/>
        </w:trPr>
        <w:tc>
          <w:tcPr>
            <w:tcW w:w="2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1</w:t>
            </w:r>
          </w:p>
        </w:tc>
        <w:tc>
          <w:tcPr>
            <w:tcW w:w="3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b/>
                <w:bCs/>
                <w:kern w:val="0"/>
                <w:sz w:val="21"/>
                <w:szCs w:val="21"/>
                <w:lang w:val="en-US" w:eastAsia="zh-CN"/>
              </w:rPr>
            </w:pPr>
            <w:r>
              <w:rPr>
                <w:rFonts w:hint="eastAsia" w:ascii="仿宋_GB2312" w:hAnsi="仿宋_GB2312" w:eastAsia="仿宋_GB2312" w:cs="仿宋_GB2312"/>
                <w:b/>
                <w:bCs/>
                <w:kern w:val="0"/>
                <w:sz w:val="21"/>
                <w:szCs w:val="21"/>
                <w:lang w:val="en-US" w:eastAsia="zh-CN"/>
              </w:rPr>
              <w:t>总体预算(10分)</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default" w:ascii="仿宋_GB2312" w:hAnsi="仿宋_GB2312" w:eastAsia="仿宋_GB2312" w:cs="仿宋_GB2312"/>
                <w:b/>
                <w:bCs/>
                <w:kern w:val="0"/>
                <w:sz w:val="21"/>
                <w:szCs w:val="21"/>
                <w:lang w:val="en-US" w:eastAsia="zh-CN"/>
              </w:rPr>
            </w:pPr>
            <w:r>
              <w:rPr>
                <w:rFonts w:hint="eastAsia" w:ascii="仿宋_GB2312" w:hAnsi="仿宋_GB2312" w:eastAsia="仿宋_GB2312" w:cs="仿宋_GB2312"/>
                <w:kern w:val="0"/>
                <w:sz w:val="21"/>
                <w:szCs w:val="21"/>
                <w:lang w:val="en-US" w:eastAsia="zh-CN"/>
              </w:rPr>
              <w:t>评分标准：供应商满足招标文件且投标价格最低的投标报价为10分满分，其它投标人的分数按照价格递减，依次扣减1分、2分、3分，最低分为4分。</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rPr>
            </w:pPr>
          </w:p>
        </w:tc>
        <w:tc>
          <w:tcPr>
            <w:tcW w:w="96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rPr>
            </w:pPr>
          </w:p>
        </w:tc>
        <w:tc>
          <w:tcPr>
            <w:tcW w:w="103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rPr>
            </w:pPr>
          </w:p>
        </w:tc>
      </w:tr>
      <w:tr>
        <w:tblPrEx>
          <w:tblCellMar>
            <w:top w:w="0" w:type="dxa"/>
            <w:left w:w="0" w:type="dxa"/>
            <w:bottom w:w="0" w:type="dxa"/>
            <w:right w:w="0" w:type="dxa"/>
          </w:tblCellMar>
        </w:tblPrEx>
        <w:trPr>
          <w:trHeight w:val="1450" w:hRule="atLeast"/>
          <w:jc w:val="center"/>
        </w:trPr>
        <w:tc>
          <w:tcPr>
            <w:tcW w:w="2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2</w:t>
            </w:r>
          </w:p>
        </w:tc>
        <w:tc>
          <w:tcPr>
            <w:tcW w:w="3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b/>
                <w:bCs/>
                <w:kern w:val="0"/>
                <w:sz w:val="21"/>
                <w:szCs w:val="21"/>
                <w:lang w:val="en-US" w:eastAsia="zh-CN"/>
              </w:rPr>
            </w:pPr>
            <w:r>
              <w:rPr>
                <w:rFonts w:hint="eastAsia" w:ascii="仿宋_GB2312" w:hAnsi="仿宋_GB2312" w:eastAsia="仿宋_GB2312" w:cs="仿宋_GB2312"/>
                <w:b/>
                <w:bCs/>
                <w:kern w:val="0"/>
                <w:sz w:val="21"/>
                <w:szCs w:val="21"/>
                <w:lang w:val="en-US" w:eastAsia="zh-CN"/>
              </w:rPr>
              <w:t>预算明细(5分)</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评分标准:未提供预算明细不得分。</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有预算明细，但未列明项目内容、单价、数量等内容的，酌情扣分。</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有预算明细，但明显不符合市场价格的，最高得 2分。</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rPr>
            </w:pPr>
          </w:p>
        </w:tc>
        <w:tc>
          <w:tcPr>
            <w:tcW w:w="96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rPr>
            </w:pPr>
          </w:p>
        </w:tc>
        <w:tc>
          <w:tcPr>
            <w:tcW w:w="103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rPr>
            </w:pPr>
          </w:p>
        </w:tc>
      </w:tr>
      <w:tr>
        <w:tblPrEx>
          <w:tblCellMar>
            <w:top w:w="0" w:type="dxa"/>
            <w:left w:w="0" w:type="dxa"/>
            <w:bottom w:w="0" w:type="dxa"/>
            <w:right w:w="0" w:type="dxa"/>
          </w:tblCellMar>
        </w:tblPrEx>
        <w:trPr>
          <w:trHeight w:val="90" w:hRule="atLeast"/>
          <w:jc w:val="center"/>
        </w:trPr>
        <w:tc>
          <w:tcPr>
            <w:tcW w:w="9164" w:type="dxa"/>
            <w:gridSpan w:val="7"/>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黑体" w:hAnsi="黑体" w:eastAsia="黑体" w:cs="黑体"/>
                <w:b w:val="0"/>
                <w:bCs w:val="0"/>
                <w:kern w:val="0"/>
                <w:sz w:val="24"/>
                <w:szCs w:val="24"/>
                <w:lang w:val="en-US" w:eastAsia="zh-CN"/>
              </w:rPr>
            </w:pPr>
            <w:r>
              <w:rPr>
                <w:rFonts w:hint="eastAsia" w:ascii="黑体" w:hAnsi="黑体" w:eastAsia="黑体" w:cs="黑体"/>
                <w:b w:val="0"/>
                <w:bCs w:val="0"/>
                <w:kern w:val="0"/>
                <w:sz w:val="24"/>
                <w:szCs w:val="24"/>
                <w:lang w:val="en-US" w:eastAsia="zh-CN"/>
              </w:rPr>
              <w:t>三、技术部分（总分45分）</w:t>
            </w:r>
          </w:p>
        </w:tc>
      </w:tr>
      <w:tr>
        <w:tblPrEx>
          <w:tblCellMar>
            <w:top w:w="0" w:type="dxa"/>
            <w:left w:w="0" w:type="dxa"/>
            <w:bottom w:w="0" w:type="dxa"/>
            <w:right w:w="0" w:type="dxa"/>
          </w:tblCellMar>
        </w:tblPrEx>
        <w:trPr>
          <w:trHeight w:val="1588" w:hRule="atLeast"/>
          <w:jc w:val="center"/>
        </w:trPr>
        <w:tc>
          <w:tcPr>
            <w:tcW w:w="2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1</w:t>
            </w:r>
          </w:p>
        </w:tc>
        <w:tc>
          <w:tcPr>
            <w:tcW w:w="3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eastAsia" w:ascii="仿宋_GB2312" w:hAnsi="仿宋_GB2312" w:eastAsia="仿宋_GB2312" w:cs="仿宋_GB2312"/>
                <w:b/>
                <w:bCs/>
                <w:kern w:val="0"/>
                <w:sz w:val="21"/>
                <w:szCs w:val="21"/>
                <w:lang w:val="en-US" w:eastAsia="zh-CN"/>
              </w:rPr>
            </w:pPr>
            <w:r>
              <w:rPr>
                <w:rFonts w:hint="eastAsia" w:ascii="仿宋_GB2312" w:hAnsi="仿宋_GB2312" w:eastAsia="仿宋_GB2312" w:cs="仿宋_GB2312"/>
                <w:b/>
                <w:bCs/>
                <w:kern w:val="0"/>
                <w:sz w:val="21"/>
                <w:szCs w:val="21"/>
                <w:lang w:val="en-US" w:eastAsia="zh-CN"/>
              </w:rPr>
              <w:t>项目整体策划、工作内容及工作思路（15分）</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对本项目方案编制及对项目整体的理解及认知。</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优的得15-13分，较好的得12-9分，一般的得8-6分，较差的得5-0分。</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rPr>
            </w:pPr>
          </w:p>
        </w:tc>
        <w:tc>
          <w:tcPr>
            <w:tcW w:w="96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rPr>
            </w:pPr>
          </w:p>
        </w:tc>
        <w:tc>
          <w:tcPr>
            <w:tcW w:w="103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rPr>
            </w:pPr>
          </w:p>
        </w:tc>
      </w:tr>
      <w:tr>
        <w:tblPrEx>
          <w:tblCellMar>
            <w:top w:w="0" w:type="dxa"/>
            <w:left w:w="0" w:type="dxa"/>
            <w:bottom w:w="0" w:type="dxa"/>
            <w:right w:w="0" w:type="dxa"/>
          </w:tblCellMar>
        </w:tblPrEx>
        <w:trPr>
          <w:trHeight w:val="1073" w:hRule="atLeast"/>
          <w:jc w:val="center"/>
        </w:trPr>
        <w:tc>
          <w:tcPr>
            <w:tcW w:w="2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2</w:t>
            </w:r>
          </w:p>
        </w:tc>
        <w:tc>
          <w:tcPr>
            <w:tcW w:w="3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b/>
                <w:bCs/>
                <w:kern w:val="0"/>
                <w:sz w:val="21"/>
                <w:szCs w:val="21"/>
                <w:lang w:eastAsia="zh-CN"/>
              </w:rPr>
            </w:pPr>
            <w:r>
              <w:rPr>
                <w:rFonts w:hint="eastAsia" w:ascii="仿宋_GB2312" w:hAnsi="仿宋_GB2312" w:eastAsia="仿宋_GB2312" w:cs="仿宋_GB2312"/>
                <w:b/>
                <w:bCs/>
                <w:kern w:val="0"/>
                <w:sz w:val="21"/>
                <w:szCs w:val="21"/>
                <w:lang w:eastAsia="zh-CN"/>
              </w:rPr>
              <w:t>项目实施方案、计划（15分）</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对项目的认知及重点、难点分析。</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优的得15-13分，较好的得12-9分，一般的得8-6分，较差的得5-0分。</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rPr>
            </w:pPr>
          </w:p>
        </w:tc>
        <w:tc>
          <w:tcPr>
            <w:tcW w:w="96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rPr>
            </w:pPr>
          </w:p>
        </w:tc>
        <w:tc>
          <w:tcPr>
            <w:tcW w:w="103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rPr>
            </w:pPr>
          </w:p>
        </w:tc>
      </w:tr>
      <w:tr>
        <w:tblPrEx>
          <w:tblCellMar>
            <w:top w:w="0" w:type="dxa"/>
            <w:left w:w="0" w:type="dxa"/>
            <w:bottom w:w="0" w:type="dxa"/>
            <w:right w:w="0" w:type="dxa"/>
          </w:tblCellMar>
        </w:tblPrEx>
        <w:trPr>
          <w:trHeight w:val="1305" w:hRule="atLeast"/>
          <w:jc w:val="center"/>
        </w:trPr>
        <w:tc>
          <w:tcPr>
            <w:tcW w:w="2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3</w:t>
            </w:r>
          </w:p>
        </w:tc>
        <w:tc>
          <w:tcPr>
            <w:tcW w:w="35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b/>
                <w:bCs/>
                <w:kern w:val="0"/>
                <w:sz w:val="21"/>
                <w:szCs w:val="21"/>
                <w:lang w:val="en-US" w:eastAsia="zh-CN"/>
              </w:rPr>
            </w:pPr>
            <w:r>
              <w:rPr>
                <w:rFonts w:hint="eastAsia" w:ascii="仿宋_GB2312" w:hAnsi="仿宋_GB2312" w:eastAsia="仿宋_GB2312" w:cs="仿宋_GB2312"/>
                <w:b/>
                <w:bCs/>
                <w:kern w:val="0"/>
                <w:sz w:val="21"/>
                <w:szCs w:val="21"/>
                <w:lang w:val="en-US" w:eastAsia="zh-CN"/>
              </w:rPr>
              <w:t>项目管理措施（15分）</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工体总体思路、方法路线清晰、细节描述佳、具有合理性、科学性和可行性。</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优的得15-13分，较好的得12-9分，一般的得8-6分，较差的得5-0分。</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rPr>
            </w:pPr>
          </w:p>
        </w:tc>
        <w:tc>
          <w:tcPr>
            <w:tcW w:w="96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rPr>
            </w:pPr>
          </w:p>
        </w:tc>
        <w:tc>
          <w:tcPr>
            <w:tcW w:w="103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rPr>
            </w:pPr>
          </w:p>
        </w:tc>
      </w:tr>
      <w:tr>
        <w:tblPrEx>
          <w:tblCellMar>
            <w:top w:w="0" w:type="dxa"/>
            <w:left w:w="0" w:type="dxa"/>
            <w:bottom w:w="0" w:type="dxa"/>
            <w:right w:w="0" w:type="dxa"/>
          </w:tblCellMar>
        </w:tblPrEx>
        <w:trPr>
          <w:trHeight w:val="509" w:hRule="atLeast"/>
          <w:jc w:val="center"/>
        </w:trPr>
        <w:tc>
          <w:tcPr>
            <w:tcW w:w="9164" w:type="dxa"/>
            <w:gridSpan w:val="7"/>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黑体" w:hAnsi="黑体" w:eastAsia="黑体" w:cs="黑体"/>
                <w:b w:val="0"/>
                <w:bCs w:val="0"/>
                <w:kern w:val="0"/>
                <w:sz w:val="24"/>
                <w:szCs w:val="24"/>
                <w:lang w:val="en-US" w:eastAsia="zh-CN"/>
              </w:rPr>
            </w:pPr>
            <w:r>
              <w:rPr>
                <w:rFonts w:hint="eastAsia" w:ascii="黑体" w:hAnsi="黑体" w:eastAsia="黑体" w:cs="黑体"/>
                <w:b w:val="0"/>
                <w:bCs w:val="0"/>
                <w:kern w:val="0"/>
                <w:sz w:val="24"/>
                <w:szCs w:val="24"/>
                <w:lang w:val="en-US" w:eastAsia="zh-CN"/>
              </w:rPr>
              <w:t>四、综合实力部分（总分30分）</w:t>
            </w:r>
          </w:p>
        </w:tc>
      </w:tr>
      <w:tr>
        <w:tblPrEx>
          <w:tblCellMar>
            <w:top w:w="0" w:type="dxa"/>
            <w:left w:w="0" w:type="dxa"/>
            <w:bottom w:w="0" w:type="dxa"/>
            <w:right w:w="0" w:type="dxa"/>
          </w:tblCellMar>
        </w:tblPrEx>
        <w:trPr>
          <w:trHeight w:val="1870" w:hRule="atLeast"/>
          <w:jc w:val="center"/>
        </w:trPr>
        <w:tc>
          <w:tcPr>
            <w:tcW w:w="2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val="en-US" w:eastAsia="zh-CN"/>
              </w:rPr>
              <w:t>1</w:t>
            </w:r>
          </w:p>
        </w:tc>
        <w:tc>
          <w:tcPr>
            <w:tcW w:w="351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b/>
                <w:bCs/>
                <w:kern w:val="0"/>
                <w:sz w:val="21"/>
                <w:szCs w:val="21"/>
                <w:lang w:val="en-US" w:eastAsia="zh-CN"/>
              </w:rPr>
            </w:pPr>
            <w:r>
              <w:rPr>
                <w:rFonts w:hint="eastAsia" w:ascii="仿宋_GB2312" w:hAnsi="仿宋_GB2312" w:eastAsia="仿宋_GB2312" w:cs="仿宋_GB2312"/>
                <w:b/>
                <w:bCs/>
                <w:kern w:val="0"/>
                <w:sz w:val="21"/>
                <w:szCs w:val="21"/>
                <w:lang w:val="en-US" w:eastAsia="zh-CN"/>
              </w:rPr>
              <w:t>应急响应度（10分）</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val="en-US" w:eastAsia="zh-CN"/>
              </w:rPr>
              <w:t>供应商为深圳市罗湖区内注册以及设置了罗湖区内售后服务点的得10分，供应商为深圳市内注册及设置了深圳市内售后服务点的得5分，供应商非深圳市内注册及设置了深圳市内售后服务点的不得分，本条最高得10分，其他依情况得分。</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bidi="ar-SA"/>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bidi="ar-SA"/>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bidi="ar-SA"/>
              </w:rPr>
            </w:pPr>
          </w:p>
        </w:tc>
        <w:tc>
          <w:tcPr>
            <w:tcW w:w="96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bidi="ar-SA"/>
              </w:rPr>
            </w:pPr>
          </w:p>
        </w:tc>
        <w:tc>
          <w:tcPr>
            <w:tcW w:w="103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bidi="ar-SA"/>
              </w:rPr>
            </w:pPr>
          </w:p>
        </w:tc>
      </w:tr>
      <w:tr>
        <w:tblPrEx>
          <w:tblCellMar>
            <w:top w:w="0" w:type="dxa"/>
            <w:left w:w="0" w:type="dxa"/>
            <w:bottom w:w="0" w:type="dxa"/>
            <w:right w:w="0" w:type="dxa"/>
          </w:tblCellMar>
        </w:tblPrEx>
        <w:trPr>
          <w:trHeight w:val="4475" w:hRule="atLeast"/>
          <w:jc w:val="center"/>
        </w:trPr>
        <w:tc>
          <w:tcPr>
            <w:tcW w:w="2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2</w:t>
            </w:r>
          </w:p>
        </w:tc>
        <w:tc>
          <w:tcPr>
            <w:tcW w:w="351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b/>
                <w:bCs/>
                <w:kern w:val="0"/>
                <w:sz w:val="21"/>
                <w:szCs w:val="21"/>
                <w:lang w:val="en-US" w:eastAsia="zh-CN"/>
              </w:rPr>
            </w:pPr>
            <w:r>
              <w:rPr>
                <w:rFonts w:hint="eastAsia" w:ascii="仿宋_GB2312" w:hAnsi="仿宋_GB2312" w:eastAsia="仿宋_GB2312" w:cs="仿宋_GB2312"/>
                <w:b/>
                <w:bCs/>
                <w:kern w:val="0"/>
                <w:sz w:val="21"/>
                <w:szCs w:val="21"/>
                <w:lang w:val="en-US" w:eastAsia="zh-CN"/>
              </w:rPr>
              <w:t>项目团队情况（包括项目负责人）</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b/>
                <w:bCs/>
                <w:kern w:val="0"/>
                <w:sz w:val="21"/>
                <w:szCs w:val="21"/>
                <w:lang w:val="en-US" w:eastAsia="zh-CN"/>
              </w:rPr>
            </w:pPr>
            <w:r>
              <w:rPr>
                <w:rFonts w:hint="eastAsia" w:ascii="仿宋_GB2312" w:hAnsi="仿宋_GB2312" w:eastAsia="仿宋_GB2312" w:cs="仿宋_GB2312"/>
                <w:b/>
                <w:bCs/>
                <w:kern w:val="0"/>
                <w:sz w:val="21"/>
                <w:szCs w:val="21"/>
                <w:lang w:val="en-US" w:eastAsia="zh-CN"/>
              </w:rPr>
              <w:t>（10分）</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1.项目负责人需具备：</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（1）研究生及以上学历或硕士及以上学位；</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（2）中级工程师及以上职称；</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（3）注册安全工程师执业资格；</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（4）安全评价师职业技能资格；</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（5）深圳市应急管理专家库专家资格。</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2.项目团队人员需具备一名及以上注册安全工程师或注册消防工程师资格。</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3.评分标准：</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（1）以上人员需提供相关证书扫描件、劳务合同复印件，原件备查；</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（2）项目负责人同时满足以上5项要求，得5分，每少一项减1分；</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（3）项目团队人员每提供1名得1分，最高得5分；</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（4）本部分最高得10分。</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bidi="ar-SA"/>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bidi="ar-SA"/>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bidi="ar-SA"/>
              </w:rPr>
            </w:pPr>
          </w:p>
        </w:tc>
        <w:tc>
          <w:tcPr>
            <w:tcW w:w="96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bidi="ar-SA"/>
              </w:rPr>
            </w:pPr>
          </w:p>
        </w:tc>
        <w:tc>
          <w:tcPr>
            <w:tcW w:w="103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bidi="ar-SA"/>
              </w:rPr>
            </w:pPr>
          </w:p>
        </w:tc>
      </w:tr>
      <w:tr>
        <w:tblPrEx>
          <w:tblCellMar>
            <w:top w:w="0" w:type="dxa"/>
            <w:left w:w="0" w:type="dxa"/>
            <w:bottom w:w="0" w:type="dxa"/>
            <w:right w:w="0" w:type="dxa"/>
          </w:tblCellMar>
        </w:tblPrEx>
        <w:trPr>
          <w:trHeight w:val="2305" w:hRule="atLeast"/>
          <w:jc w:val="center"/>
        </w:trPr>
        <w:tc>
          <w:tcPr>
            <w:tcW w:w="2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center"/>
              <w:textAlignment w:val="auto"/>
              <w:outlineLvl w:val="9"/>
              <w:rPr>
                <w:rFonts w:hint="default"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3</w:t>
            </w:r>
          </w:p>
        </w:tc>
        <w:tc>
          <w:tcPr>
            <w:tcW w:w="3510"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b/>
                <w:bCs/>
                <w:kern w:val="0"/>
                <w:sz w:val="21"/>
                <w:szCs w:val="21"/>
                <w:lang w:val="en-US" w:eastAsia="zh-CN"/>
              </w:rPr>
            </w:pPr>
            <w:r>
              <w:rPr>
                <w:rFonts w:hint="eastAsia" w:ascii="仿宋_GB2312" w:hAnsi="仿宋_GB2312" w:eastAsia="仿宋_GB2312" w:cs="仿宋_GB2312"/>
                <w:b/>
                <w:bCs/>
                <w:kern w:val="0"/>
                <w:sz w:val="21"/>
                <w:szCs w:val="21"/>
                <w:lang w:val="en-US" w:eastAsia="zh-CN"/>
              </w:rPr>
              <w:t>相关业绩（10分）</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投标人需提供与政府部门、事业单位或央企国企相关服务的业绩。提供合同复印件，原件备查。</w:t>
            </w:r>
          </w:p>
          <w:p>
            <w:pPr>
              <w:keepNext w:val="0"/>
              <w:keepLines w:val="0"/>
              <w:pageBreakBefore w:val="0"/>
              <w:widowControl/>
              <w:kinsoku/>
              <w:wordWrap/>
              <w:overflowPunct/>
              <w:topLinePunct w:val="0"/>
              <w:autoSpaceDE/>
              <w:autoSpaceDN/>
              <w:bidi w:val="0"/>
              <w:adjustRightInd/>
              <w:snapToGrid/>
              <w:spacing w:line="220" w:lineRule="exact"/>
              <w:jc w:val="left"/>
              <w:textAlignment w:val="auto"/>
              <w:outlineLvl w:val="9"/>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评分标准：近三年（2023</w:t>
            </w:r>
            <w:bookmarkStart w:id="0" w:name="_GoBack"/>
            <w:bookmarkEnd w:id="0"/>
            <w:r>
              <w:rPr>
                <w:rFonts w:hint="eastAsia" w:ascii="仿宋_GB2312" w:hAnsi="仿宋_GB2312" w:eastAsia="仿宋_GB2312" w:cs="仿宋_GB2312"/>
                <w:kern w:val="0"/>
                <w:sz w:val="21"/>
                <w:szCs w:val="21"/>
                <w:lang w:val="en-US" w:eastAsia="zh-CN"/>
              </w:rPr>
              <w:t>年1月1日至本标开标之日起与相关部门签订的服务合同），每个部门只能提供一个服务项目，每提一个得2分，最高不超过10分）</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bidi="ar-SA"/>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bidi="ar-SA"/>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bidi="ar-SA"/>
              </w:rPr>
            </w:pPr>
          </w:p>
        </w:tc>
        <w:tc>
          <w:tcPr>
            <w:tcW w:w="96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bidi="ar-SA"/>
              </w:rPr>
            </w:pPr>
          </w:p>
        </w:tc>
        <w:tc>
          <w:tcPr>
            <w:tcW w:w="103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lang w:val="en-US" w:eastAsia="zh-CN" w:bidi="ar-SA"/>
              </w:rPr>
            </w:pPr>
          </w:p>
        </w:tc>
      </w:tr>
      <w:tr>
        <w:tblPrEx>
          <w:tblCellMar>
            <w:top w:w="0" w:type="dxa"/>
            <w:left w:w="0" w:type="dxa"/>
            <w:bottom w:w="0" w:type="dxa"/>
            <w:right w:w="0" w:type="dxa"/>
          </w:tblCellMar>
        </w:tblPrEx>
        <w:trPr>
          <w:trHeight w:val="464" w:hRule="atLeast"/>
          <w:jc w:val="center"/>
        </w:trPr>
        <w:tc>
          <w:tcPr>
            <w:tcW w:w="9164" w:type="dxa"/>
            <w:gridSpan w:val="7"/>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黑体" w:hAnsi="黑体" w:eastAsia="黑体" w:cs="黑体"/>
                <w:b w:val="0"/>
                <w:bCs w:val="0"/>
                <w:kern w:val="0"/>
                <w:sz w:val="24"/>
                <w:szCs w:val="24"/>
                <w:lang w:val="en-US" w:eastAsia="zh-CN"/>
              </w:rPr>
            </w:pPr>
            <w:r>
              <w:rPr>
                <w:rFonts w:hint="eastAsia" w:ascii="黑体" w:hAnsi="黑体" w:eastAsia="黑体" w:cs="黑体"/>
                <w:b w:val="0"/>
                <w:bCs w:val="0"/>
                <w:kern w:val="0"/>
                <w:sz w:val="24"/>
                <w:szCs w:val="24"/>
                <w:lang w:val="en-US" w:eastAsia="zh-CN"/>
              </w:rPr>
              <w:t>五、信用部分（5分）</w:t>
            </w:r>
          </w:p>
        </w:tc>
      </w:tr>
      <w:tr>
        <w:tblPrEx>
          <w:tblCellMar>
            <w:top w:w="0" w:type="dxa"/>
            <w:left w:w="0" w:type="dxa"/>
            <w:bottom w:w="0" w:type="dxa"/>
            <w:right w:w="0" w:type="dxa"/>
          </w:tblCellMar>
        </w:tblPrEx>
        <w:trPr>
          <w:trHeight w:val="997" w:hRule="atLeast"/>
          <w:jc w:val="center"/>
        </w:trPr>
        <w:tc>
          <w:tcPr>
            <w:tcW w:w="3809"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诚信（5分）</w:t>
            </w:r>
          </w:p>
          <w:p>
            <w:pPr>
              <w:widowControl/>
              <w:jc w:val="left"/>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提供深圳信用网完整版公共信用报告，无重大违法记录，无骗取、严重违约及重大安全和质量等问题得5分，有相关行为不得分。</w:t>
            </w:r>
          </w:p>
        </w:tc>
        <w:tc>
          <w:tcPr>
            <w:tcW w:w="1065"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rPr>
            </w:pPr>
          </w:p>
        </w:tc>
        <w:tc>
          <w:tcPr>
            <w:tcW w:w="96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rPr>
            </w:pPr>
          </w:p>
        </w:tc>
        <w:tc>
          <w:tcPr>
            <w:tcW w:w="103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rPr>
            </w:pPr>
          </w:p>
        </w:tc>
      </w:tr>
      <w:tr>
        <w:tblPrEx>
          <w:tblCellMar>
            <w:top w:w="0" w:type="dxa"/>
            <w:left w:w="0" w:type="dxa"/>
            <w:bottom w:w="0" w:type="dxa"/>
            <w:right w:w="0" w:type="dxa"/>
          </w:tblCellMar>
        </w:tblPrEx>
        <w:trPr>
          <w:trHeight w:val="503" w:hRule="atLeast"/>
          <w:jc w:val="center"/>
        </w:trPr>
        <w:tc>
          <w:tcPr>
            <w:tcW w:w="380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065"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rPr>
            </w:pPr>
          </w:p>
        </w:tc>
        <w:tc>
          <w:tcPr>
            <w:tcW w:w="106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rPr>
            </w:pPr>
          </w:p>
        </w:tc>
        <w:tc>
          <w:tcPr>
            <w:tcW w:w="123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rPr>
            </w:pPr>
          </w:p>
        </w:tc>
        <w:tc>
          <w:tcPr>
            <w:tcW w:w="96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rPr>
            </w:pPr>
          </w:p>
        </w:tc>
        <w:tc>
          <w:tcPr>
            <w:tcW w:w="103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24"/>
                <w:szCs w:val="24"/>
              </w:rPr>
            </w:pPr>
          </w:p>
        </w:tc>
      </w:tr>
    </w:tbl>
    <w:p>
      <w:r>
        <w:rPr>
          <w:sz w:val="44"/>
        </w:rPr>
        <mc:AlternateContent>
          <mc:Choice Requires="wps">
            <w:drawing>
              <wp:anchor distT="0" distB="0" distL="114300" distR="114300" simplePos="0" relativeHeight="251659264" behindDoc="0" locked="0" layoutInCell="1" allowOverlap="1">
                <wp:simplePos x="0" y="0"/>
                <wp:positionH relativeFrom="column">
                  <wp:posOffset>85725</wp:posOffset>
                </wp:positionH>
                <wp:positionV relativeFrom="paragraph">
                  <wp:posOffset>8463280</wp:posOffset>
                </wp:positionV>
                <wp:extent cx="5162550" cy="485775"/>
                <wp:effectExtent l="0" t="0" r="0" b="9525"/>
                <wp:wrapNone/>
                <wp:docPr id="1" name="文本框 1"/>
                <wp:cNvGraphicFramePr/>
                <a:graphic xmlns:a="http://schemas.openxmlformats.org/drawingml/2006/main">
                  <a:graphicData uri="http://schemas.microsoft.com/office/word/2010/wordprocessingShape">
                    <wps:wsp>
                      <wps:cNvSpPr txBox="1"/>
                      <wps:spPr>
                        <a:xfrm>
                          <a:off x="1608455" y="9952990"/>
                          <a:ext cx="5162550" cy="4857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sz w:val="24"/>
                                <w:szCs w:val="24"/>
                                <w:lang w:val="en-US" w:eastAsia="zh-CN"/>
                              </w:rPr>
                            </w:pPr>
                            <w:r>
                              <w:rPr>
                                <w:rFonts w:hint="eastAsia"/>
                                <w:sz w:val="24"/>
                                <w:szCs w:val="24"/>
                                <w:lang w:val="en" w:eastAsia="zh-CN"/>
                              </w:rPr>
                              <w:t>评分人：</w:t>
                            </w:r>
                            <w:r>
                              <w:rPr>
                                <w:rFonts w:hint="eastAsia"/>
                                <w:sz w:val="24"/>
                                <w:szCs w:val="24"/>
                                <w:lang w:val="en-US" w:eastAsia="zh-CN"/>
                              </w:rPr>
                              <w:t xml:space="preserve">                                   日期：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5pt;margin-top:666.4pt;height:38.25pt;width:406.5pt;z-index:251659264;mso-width-relative:page;mso-height-relative:page;" fillcolor="#FFFFFF [3201]" filled="t" stroked="f" coordsize="21600,21600" o:gfxdata="UEsFBgAAAAAAAAAAAAAAAAAAAAAAAFBLAwQKAAAAAACHTuJAAAAAAAAAAAAAAAAABAAAAGRycy9Q&#10;SwMEFAAAAAgAh07iQAHu0CXUAAAADAEAAA8AAABkcnMvZG93bnJldi54bWxNT8tOwzAQvCPxD9Yi&#10;caN2klKVEKcHJK5ItKVnN17iCHsdxe7z69me4LSah2ZnmtU5eHHEKQ2RNBQzBQKpi3agXsN28/60&#10;BJGyIWt8JNRwwQSr9v6uMbWNJ/rE4zr3gkMo1UaDy3mspUydw2DSLI5IrH3HKZjMcOqlncyJw4OX&#10;pVILGcxA/MGZEd8cdj/rQ9Cw68N191WMk7PBz+njetls46D140OhXkFkPOc/M9zqc3VoudM+Hsgm&#10;4RlXz+y83arkDexYlgum9kzN1UsFsm3k/xHtL1BLAwQUAAAACACHTuJAbtOyRlkCAACbBAAADgAA&#10;AGRycy9lMm9Eb2MueG1srVTNbhMxEL4j8Q6W73STkE2TKJsqpApCqmilgjg7Xm/Wku0xtpPd8gDw&#10;Bpy4cOe5+hyMvZs2FA49kMNm7Pn2m/nmZxcXrVbkIJyXYAo6PBtQIgyHUppdQT9+2LyaUuIDMyVT&#10;YERB74SnF8uXLxaNnYsR1KBK4QiSGD9vbEHrEOw8yzyvhWb+DKww6KzAaRbw6HZZ6ViD7Fplo8Fg&#10;kjXgSuuAC+/x9rJz0p7RPYcQqkpycQl8r4UJHasTigWU5GtpPV2mbKtK8HBdVV4EogqKSkN6YhC0&#10;t/GZLRdsvnPM1pL3KbDnpPBEk2bSYNAHqksWGNk7+ReVltyBhyqccdBZJyRVBFUMB09qc1szK5IW&#10;LLW3D0X3/4+Wvz/cOCJLnARKDNPY8Pvv3+5//Lr/+ZUMY3ka6+eIurWIC+0baCO0v/d4GVW3ldPx&#10;H/WQ6J8MpuM8p+SuoLNZPprN+kKLNhCOgHw4GeU59oAjYjzNz8/zSJk9Mlnnw1sBmkSjoA4bmerL&#10;Dlc+dNAjJAb2oGS5kUqlg9tt18qRA8Omb9KvZ/8DpgxpCjp5jXnEtwzE9ztqZTCZKLwTGK3Qbtte&#10;9RbKOyyGg26avOUbiVleMR9umMPxQWG4YOEaH5UCDAK9RUkN7su/7iMeu4peShocx4L6z3vmBCXq&#10;ncF+z4bjcZzfdBjn5yM8uFPP9tRj9noNKB57itklM+KDOpqVA/0J93AVo6KLGY6xCxqO5jp0S4J7&#10;zMVqlUA4sZaFK3NreaTuirbaB6hkakksU1ebvno4s6mp/X7FpTg9J9TjN2X5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BYAAABkcnMvUEsB&#10;AhQAFAAAAAgAh07iQAHu0CXUAAAADAEAAA8AAAAAAAAAAQAgAAAAOAAAAGRycy9kb3ducmV2Lnht&#10;bFBLAQIUABQAAAAIAIdO4kBu07JGWQIAAJsEAAAOAAAAAAAAAAEAIAAAADkBAABkcnMvZTJvRG9j&#10;LnhtbFBLBQYAAAAABgAGAFkBAAAEBgAAAAA=&#10;">
                <v:fill on="t" focussize="0,0"/>
                <v:stroke on="f" weight="0.5pt"/>
                <v:imagedata o:title=""/>
                <o:lock v:ext="edit" aspectratio="f"/>
                <v:textbox>
                  <w:txbxContent>
                    <w:p>
                      <w:pPr>
                        <w:rPr>
                          <w:rFonts w:hint="default" w:eastAsia="宋体"/>
                          <w:sz w:val="24"/>
                          <w:szCs w:val="24"/>
                          <w:lang w:val="en-US" w:eastAsia="zh-CN"/>
                        </w:rPr>
                      </w:pPr>
                      <w:r>
                        <w:rPr>
                          <w:rFonts w:hint="eastAsia"/>
                          <w:sz w:val="24"/>
                          <w:szCs w:val="24"/>
                          <w:lang w:val="en" w:eastAsia="zh-CN"/>
                        </w:rPr>
                        <w:t>评分人：</w:t>
                      </w:r>
                      <w:r>
                        <w:rPr>
                          <w:rFonts w:hint="eastAsia"/>
                          <w:sz w:val="24"/>
                          <w:szCs w:val="24"/>
                          <w:lang w:val="en-US" w:eastAsia="zh-CN"/>
                        </w:rPr>
                        <w:t xml:space="preserve">                                   日期：</w:t>
                      </w:r>
                    </w:p>
                  </w:txbxContent>
                </v:textbox>
              </v:shape>
            </w:pict>
          </mc:Fallback>
        </mc:AlternateContent>
      </w:r>
    </w:p>
    <w:sectPr>
      <w:pgSz w:w="11906" w:h="16838"/>
      <w:pgMar w:top="1440" w:right="1800" w:bottom="1440" w:left="184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721BD1"/>
    <w:rsid w:val="002C22F0"/>
    <w:rsid w:val="002D50D2"/>
    <w:rsid w:val="00982EB5"/>
    <w:rsid w:val="00AC6DBA"/>
    <w:rsid w:val="00D77575"/>
    <w:rsid w:val="010416D8"/>
    <w:rsid w:val="013B7E3A"/>
    <w:rsid w:val="01560CAB"/>
    <w:rsid w:val="01EA1766"/>
    <w:rsid w:val="02B72A1B"/>
    <w:rsid w:val="02CA0D79"/>
    <w:rsid w:val="02EE1EF6"/>
    <w:rsid w:val="03151253"/>
    <w:rsid w:val="03A54661"/>
    <w:rsid w:val="03DD49B0"/>
    <w:rsid w:val="03EC404F"/>
    <w:rsid w:val="03F20CB7"/>
    <w:rsid w:val="03FC4842"/>
    <w:rsid w:val="040A491F"/>
    <w:rsid w:val="04FD29DA"/>
    <w:rsid w:val="050152B7"/>
    <w:rsid w:val="05431C49"/>
    <w:rsid w:val="05460804"/>
    <w:rsid w:val="05667C8A"/>
    <w:rsid w:val="057555CD"/>
    <w:rsid w:val="05853434"/>
    <w:rsid w:val="05F41DD7"/>
    <w:rsid w:val="061D65B8"/>
    <w:rsid w:val="061F3DFA"/>
    <w:rsid w:val="06513C99"/>
    <w:rsid w:val="06766796"/>
    <w:rsid w:val="069B3B87"/>
    <w:rsid w:val="06CF0928"/>
    <w:rsid w:val="06F37505"/>
    <w:rsid w:val="078C07D7"/>
    <w:rsid w:val="079A61AB"/>
    <w:rsid w:val="07BC62D9"/>
    <w:rsid w:val="081273B4"/>
    <w:rsid w:val="08782735"/>
    <w:rsid w:val="08935FF3"/>
    <w:rsid w:val="08DD50A4"/>
    <w:rsid w:val="094F1E10"/>
    <w:rsid w:val="09516060"/>
    <w:rsid w:val="09652D0F"/>
    <w:rsid w:val="09F521E1"/>
    <w:rsid w:val="0A35677D"/>
    <w:rsid w:val="0A584172"/>
    <w:rsid w:val="0A7964FD"/>
    <w:rsid w:val="0AC90C6F"/>
    <w:rsid w:val="0AEA1BFA"/>
    <w:rsid w:val="0B3666E2"/>
    <w:rsid w:val="0B5B0A8C"/>
    <w:rsid w:val="0B693C1D"/>
    <w:rsid w:val="0B7E09CC"/>
    <w:rsid w:val="0B965312"/>
    <w:rsid w:val="0BAD2C9A"/>
    <w:rsid w:val="0BB6479E"/>
    <w:rsid w:val="0BFD11FE"/>
    <w:rsid w:val="0C004126"/>
    <w:rsid w:val="0C1C48DE"/>
    <w:rsid w:val="0C3965CD"/>
    <w:rsid w:val="0C3B3A9D"/>
    <w:rsid w:val="0C99070D"/>
    <w:rsid w:val="0C9D0CEE"/>
    <w:rsid w:val="0CA713E2"/>
    <w:rsid w:val="0CA80355"/>
    <w:rsid w:val="0CB6456D"/>
    <w:rsid w:val="0CE8314E"/>
    <w:rsid w:val="0CEB3FDE"/>
    <w:rsid w:val="0D5040E8"/>
    <w:rsid w:val="0D572613"/>
    <w:rsid w:val="0D64353E"/>
    <w:rsid w:val="0DE233F8"/>
    <w:rsid w:val="0DF9538C"/>
    <w:rsid w:val="0DFA1DB2"/>
    <w:rsid w:val="0EB800D2"/>
    <w:rsid w:val="0EDE15FB"/>
    <w:rsid w:val="0EEE0BC2"/>
    <w:rsid w:val="0EEE68C0"/>
    <w:rsid w:val="0F276A72"/>
    <w:rsid w:val="0F34759F"/>
    <w:rsid w:val="0F547BFD"/>
    <w:rsid w:val="0F5A5C6E"/>
    <w:rsid w:val="0F6977FC"/>
    <w:rsid w:val="0FC31726"/>
    <w:rsid w:val="0FD830B4"/>
    <w:rsid w:val="10DA747D"/>
    <w:rsid w:val="1104024C"/>
    <w:rsid w:val="11191F54"/>
    <w:rsid w:val="114E24C9"/>
    <w:rsid w:val="11C630FB"/>
    <w:rsid w:val="12176283"/>
    <w:rsid w:val="12265B5E"/>
    <w:rsid w:val="122E6DC9"/>
    <w:rsid w:val="129865BD"/>
    <w:rsid w:val="12A77651"/>
    <w:rsid w:val="12EA5ABB"/>
    <w:rsid w:val="132D23DE"/>
    <w:rsid w:val="135C56C9"/>
    <w:rsid w:val="135F17F3"/>
    <w:rsid w:val="139B0F6B"/>
    <w:rsid w:val="13C15F55"/>
    <w:rsid w:val="13D25593"/>
    <w:rsid w:val="13E21D6D"/>
    <w:rsid w:val="14251113"/>
    <w:rsid w:val="143A7F16"/>
    <w:rsid w:val="149D039A"/>
    <w:rsid w:val="14AD4136"/>
    <w:rsid w:val="15155165"/>
    <w:rsid w:val="15690A53"/>
    <w:rsid w:val="157078C0"/>
    <w:rsid w:val="157E070A"/>
    <w:rsid w:val="15BD28F2"/>
    <w:rsid w:val="15EF21C3"/>
    <w:rsid w:val="16041F23"/>
    <w:rsid w:val="1610161C"/>
    <w:rsid w:val="163A2C8D"/>
    <w:rsid w:val="163C0479"/>
    <w:rsid w:val="165023B0"/>
    <w:rsid w:val="168D0088"/>
    <w:rsid w:val="16C92678"/>
    <w:rsid w:val="17160B89"/>
    <w:rsid w:val="174F0418"/>
    <w:rsid w:val="176D7524"/>
    <w:rsid w:val="178A1A65"/>
    <w:rsid w:val="17DF2792"/>
    <w:rsid w:val="18100971"/>
    <w:rsid w:val="182A2B67"/>
    <w:rsid w:val="18777AB1"/>
    <w:rsid w:val="189F39D4"/>
    <w:rsid w:val="18AC4DFF"/>
    <w:rsid w:val="19043BD8"/>
    <w:rsid w:val="192A2F38"/>
    <w:rsid w:val="19362AAB"/>
    <w:rsid w:val="19B73F35"/>
    <w:rsid w:val="19E70EB6"/>
    <w:rsid w:val="19EE1DD2"/>
    <w:rsid w:val="1A0D6D5D"/>
    <w:rsid w:val="1A1C0B50"/>
    <w:rsid w:val="1A713F80"/>
    <w:rsid w:val="1A7444BA"/>
    <w:rsid w:val="1A751FAE"/>
    <w:rsid w:val="1AAC5C41"/>
    <w:rsid w:val="1AE1123C"/>
    <w:rsid w:val="1B14095A"/>
    <w:rsid w:val="1B6E71BA"/>
    <w:rsid w:val="1B7E1EDF"/>
    <w:rsid w:val="1BCB5332"/>
    <w:rsid w:val="1BDA1666"/>
    <w:rsid w:val="1C1E5F2B"/>
    <w:rsid w:val="1C2F1E98"/>
    <w:rsid w:val="1C512646"/>
    <w:rsid w:val="1C52412A"/>
    <w:rsid w:val="1CC26F0B"/>
    <w:rsid w:val="1CC5077C"/>
    <w:rsid w:val="1D2E6ED3"/>
    <w:rsid w:val="1DD901AE"/>
    <w:rsid w:val="1E7932FF"/>
    <w:rsid w:val="1E824381"/>
    <w:rsid w:val="1E8C43E3"/>
    <w:rsid w:val="1EAE3636"/>
    <w:rsid w:val="1EE05282"/>
    <w:rsid w:val="1F371C6F"/>
    <w:rsid w:val="1F393143"/>
    <w:rsid w:val="1F502344"/>
    <w:rsid w:val="1F681A59"/>
    <w:rsid w:val="1F9113FC"/>
    <w:rsid w:val="1FC608F5"/>
    <w:rsid w:val="1FEB2450"/>
    <w:rsid w:val="20063049"/>
    <w:rsid w:val="202A4C1D"/>
    <w:rsid w:val="20461A98"/>
    <w:rsid w:val="205E3E2D"/>
    <w:rsid w:val="208543F0"/>
    <w:rsid w:val="20924DE9"/>
    <w:rsid w:val="20C2223C"/>
    <w:rsid w:val="20DC0F92"/>
    <w:rsid w:val="211752D0"/>
    <w:rsid w:val="217434F1"/>
    <w:rsid w:val="21997968"/>
    <w:rsid w:val="21B2714C"/>
    <w:rsid w:val="21D55C00"/>
    <w:rsid w:val="222E17CE"/>
    <w:rsid w:val="22D53164"/>
    <w:rsid w:val="22D56004"/>
    <w:rsid w:val="23C6254A"/>
    <w:rsid w:val="23D64BD5"/>
    <w:rsid w:val="24216707"/>
    <w:rsid w:val="244823B3"/>
    <w:rsid w:val="245B5ED3"/>
    <w:rsid w:val="24756319"/>
    <w:rsid w:val="24A20E07"/>
    <w:rsid w:val="24AE697B"/>
    <w:rsid w:val="24B32345"/>
    <w:rsid w:val="24BA45DA"/>
    <w:rsid w:val="24C55BB8"/>
    <w:rsid w:val="252978B4"/>
    <w:rsid w:val="25363225"/>
    <w:rsid w:val="254642BB"/>
    <w:rsid w:val="25C205DD"/>
    <w:rsid w:val="2671250C"/>
    <w:rsid w:val="26EA5807"/>
    <w:rsid w:val="26FA3AF0"/>
    <w:rsid w:val="27251475"/>
    <w:rsid w:val="27C21E50"/>
    <w:rsid w:val="28312A44"/>
    <w:rsid w:val="283A6802"/>
    <w:rsid w:val="284C4473"/>
    <w:rsid w:val="28767DF7"/>
    <w:rsid w:val="28ED33FF"/>
    <w:rsid w:val="28FE609C"/>
    <w:rsid w:val="294D1B54"/>
    <w:rsid w:val="29656A8A"/>
    <w:rsid w:val="298E24AB"/>
    <w:rsid w:val="299B0A5A"/>
    <w:rsid w:val="29FD49DE"/>
    <w:rsid w:val="2A0F55EA"/>
    <w:rsid w:val="2A190556"/>
    <w:rsid w:val="2A1B4786"/>
    <w:rsid w:val="2A627560"/>
    <w:rsid w:val="2A8D2F2F"/>
    <w:rsid w:val="2A946906"/>
    <w:rsid w:val="2AD74D76"/>
    <w:rsid w:val="2B47200C"/>
    <w:rsid w:val="2B7843A9"/>
    <w:rsid w:val="2B9B0AAD"/>
    <w:rsid w:val="2B9B5B9C"/>
    <w:rsid w:val="2C0E3704"/>
    <w:rsid w:val="2C7F6EF3"/>
    <w:rsid w:val="2C9D50B5"/>
    <w:rsid w:val="2CBD2B9E"/>
    <w:rsid w:val="2D701EC8"/>
    <w:rsid w:val="2D7E1FA6"/>
    <w:rsid w:val="2DCA7758"/>
    <w:rsid w:val="2E5F2D8A"/>
    <w:rsid w:val="2E752229"/>
    <w:rsid w:val="2E7B0861"/>
    <w:rsid w:val="2E915BF6"/>
    <w:rsid w:val="2EA0775D"/>
    <w:rsid w:val="2EAD429F"/>
    <w:rsid w:val="2EB46DFD"/>
    <w:rsid w:val="2EDA40DE"/>
    <w:rsid w:val="2EFA524D"/>
    <w:rsid w:val="2FA20E19"/>
    <w:rsid w:val="2FC13CF1"/>
    <w:rsid w:val="300152D4"/>
    <w:rsid w:val="300C0AD8"/>
    <w:rsid w:val="309F5171"/>
    <w:rsid w:val="30CD51AE"/>
    <w:rsid w:val="310163BC"/>
    <w:rsid w:val="313C0DCF"/>
    <w:rsid w:val="31511303"/>
    <w:rsid w:val="31722DEC"/>
    <w:rsid w:val="317E7636"/>
    <w:rsid w:val="31B30C6A"/>
    <w:rsid w:val="31C31237"/>
    <w:rsid w:val="32404E3B"/>
    <w:rsid w:val="32683EE9"/>
    <w:rsid w:val="32841309"/>
    <w:rsid w:val="32AB61DC"/>
    <w:rsid w:val="32AE6462"/>
    <w:rsid w:val="32CF1A91"/>
    <w:rsid w:val="32DA6C22"/>
    <w:rsid w:val="3313663F"/>
    <w:rsid w:val="33653601"/>
    <w:rsid w:val="33BE60AD"/>
    <w:rsid w:val="33EC63E2"/>
    <w:rsid w:val="344E2318"/>
    <w:rsid w:val="349211F7"/>
    <w:rsid w:val="34D50946"/>
    <w:rsid w:val="34F60541"/>
    <w:rsid w:val="35321CAA"/>
    <w:rsid w:val="35BF4D88"/>
    <w:rsid w:val="35C10CDF"/>
    <w:rsid w:val="35E72CF9"/>
    <w:rsid w:val="35F4313D"/>
    <w:rsid w:val="36460220"/>
    <w:rsid w:val="36503E0E"/>
    <w:rsid w:val="367823B7"/>
    <w:rsid w:val="368268B8"/>
    <w:rsid w:val="36925CE4"/>
    <w:rsid w:val="36937D06"/>
    <w:rsid w:val="36A21A70"/>
    <w:rsid w:val="36F139B9"/>
    <w:rsid w:val="37092A73"/>
    <w:rsid w:val="375B30B0"/>
    <w:rsid w:val="376229D7"/>
    <w:rsid w:val="376D3C75"/>
    <w:rsid w:val="377D3D51"/>
    <w:rsid w:val="377D466D"/>
    <w:rsid w:val="38302916"/>
    <w:rsid w:val="38E80C0A"/>
    <w:rsid w:val="38EF530B"/>
    <w:rsid w:val="39283D80"/>
    <w:rsid w:val="39285442"/>
    <w:rsid w:val="39401559"/>
    <w:rsid w:val="397214AD"/>
    <w:rsid w:val="39C214B4"/>
    <w:rsid w:val="39DD5860"/>
    <w:rsid w:val="39F414E0"/>
    <w:rsid w:val="3A274AE3"/>
    <w:rsid w:val="3A8556B4"/>
    <w:rsid w:val="3A9B0C89"/>
    <w:rsid w:val="3A9C718B"/>
    <w:rsid w:val="3ADE733B"/>
    <w:rsid w:val="3B3D3F58"/>
    <w:rsid w:val="3B427C82"/>
    <w:rsid w:val="3B457AA7"/>
    <w:rsid w:val="3B660AAA"/>
    <w:rsid w:val="3B9D283D"/>
    <w:rsid w:val="3BF218F0"/>
    <w:rsid w:val="3C0F73AE"/>
    <w:rsid w:val="3C644BFD"/>
    <w:rsid w:val="3C6975D3"/>
    <w:rsid w:val="3CA52DF7"/>
    <w:rsid w:val="3CB87F86"/>
    <w:rsid w:val="3D24256E"/>
    <w:rsid w:val="3D74567A"/>
    <w:rsid w:val="3DD978C2"/>
    <w:rsid w:val="3DF72677"/>
    <w:rsid w:val="3E592CAC"/>
    <w:rsid w:val="3E65044E"/>
    <w:rsid w:val="3ECC3C62"/>
    <w:rsid w:val="3EDF1E73"/>
    <w:rsid w:val="3F0F0E96"/>
    <w:rsid w:val="3F5F4E37"/>
    <w:rsid w:val="3F7F1F52"/>
    <w:rsid w:val="3FD855A0"/>
    <w:rsid w:val="3FF52243"/>
    <w:rsid w:val="3FFBB254"/>
    <w:rsid w:val="40453EA3"/>
    <w:rsid w:val="405915DB"/>
    <w:rsid w:val="405A5E07"/>
    <w:rsid w:val="40764522"/>
    <w:rsid w:val="40803054"/>
    <w:rsid w:val="40BC5BBB"/>
    <w:rsid w:val="40CF03A8"/>
    <w:rsid w:val="414C2B99"/>
    <w:rsid w:val="419A0289"/>
    <w:rsid w:val="419E0925"/>
    <w:rsid w:val="41A51B7C"/>
    <w:rsid w:val="41E0304E"/>
    <w:rsid w:val="42ED2C23"/>
    <w:rsid w:val="437725D5"/>
    <w:rsid w:val="437F1422"/>
    <w:rsid w:val="43A27BAF"/>
    <w:rsid w:val="43B46FE4"/>
    <w:rsid w:val="44232216"/>
    <w:rsid w:val="443E207C"/>
    <w:rsid w:val="443E6D8F"/>
    <w:rsid w:val="446B1953"/>
    <w:rsid w:val="44CC424F"/>
    <w:rsid w:val="44FF0DF7"/>
    <w:rsid w:val="4500481C"/>
    <w:rsid w:val="45081802"/>
    <w:rsid w:val="45DD0C0A"/>
    <w:rsid w:val="45F45D32"/>
    <w:rsid w:val="460D2A81"/>
    <w:rsid w:val="460F72C2"/>
    <w:rsid w:val="461A3183"/>
    <w:rsid w:val="46B22211"/>
    <w:rsid w:val="46FD1E1B"/>
    <w:rsid w:val="46FD4D1A"/>
    <w:rsid w:val="472E4DDC"/>
    <w:rsid w:val="473008A5"/>
    <w:rsid w:val="47964C4B"/>
    <w:rsid w:val="47F45BE7"/>
    <w:rsid w:val="48087E88"/>
    <w:rsid w:val="48902C10"/>
    <w:rsid w:val="48C16B21"/>
    <w:rsid w:val="48C95F44"/>
    <w:rsid w:val="491809BF"/>
    <w:rsid w:val="49394078"/>
    <w:rsid w:val="499F331E"/>
    <w:rsid w:val="49D44095"/>
    <w:rsid w:val="49EF28A3"/>
    <w:rsid w:val="49F17D94"/>
    <w:rsid w:val="4A02340B"/>
    <w:rsid w:val="4A322B46"/>
    <w:rsid w:val="4A3B6837"/>
    <w:rsid w:val="4A5A0FAE"/>
    <w:rsid w:val="4A5D08F9"/>
    <w:rsid w:val="4A9A6CD5"/>
    <w:rsid w:val="4AB63525"/>
    <w:rsid w:val="4ABC280E"/>
    <w:rsid w:val="4ACB7CB3"/>
    <w:rsid w:val="4B4C6A28"/>
    <w:rsid w:val="4BE16748"/>
    <w:rsid w:val="4CED4891"/>
    <w:rsid w:val="4D5C51CF"/>
    <w:rsid w:val="4D794DF5"/>
    <w:rsid w:val="4DD03D55"/>
    <w:rsid w:val="4E8E551F"/>
    <w:rsid w:val="4EAD3F9A"/>
    <w:rsid w:val="4F317CE1"/>
    <w:rsid w:val="4F410E2D"/>
    <w:rsid w:val="4FC000E1"/>
    <w:rsid w:val="4FC6169B"/>
    <w:rsid w:val="4FF80832"/>
    <w:rsid w:val="4FFF3C4B"/>
    <w:rsid w:val="502D3C9B"/>
    <w:rsid w:val="50457E50"/>
    <w:rsid w:val="50C73274"/>
    <w:rsid w:val="50CA2D12"/>
    <w:rsid w:val="510A3299"/>
    <w:rsid w:val="5149085D"/>
    <w:rsid w:val="51902108"/>
    <w:rsid w:val="51C92DD0"/>
    <w:rsid w:val="51D43045"/>
    <w:rsid w:val="51EA429D"/>
    <w:rsid w:val="51EB0F5E"/>
    <w:rsid w:val="51FC1572"/>
    <w:rsid w:val="52014DD9"/>
    <w:rsid w:val="5236628A"/>
    <w:rsid w:val="528E0AD6"/>
    <w:rsid w:val="5294421F"/>
    <w:rsid w:val="5298218E"/>
    <w:rsid w:val="52AC177C"/>
    <w:rsid w:val="530753A1"/>
    <w:rsid w:val="53AA6D5C"/>
    <w:rsid w:val="53AD3801"/>
    <w:rsid w:val="53D06038"/>
    <w:rsid w:val="541A7A9B"/>
    <w:rsid w:val="541B7CD4"/>
    <w:rsid w:val="545E0E5E"/>
    <w:rsid w:val="54E17021"/>
    <w:rsid w:val="551E3FD3"/>
    <w:rsid w:val="55EF4635"/>
    <w:rsid w:val="563C535B"/>
    <w:rsid w:val="56C75985"/>
    <w:rsid w:val="56D16EE4"/>
    <w:rsid w:val="56D97C08"/>
    <w:rsid w:val="57831EBD"/>
    <w:rsid w:val="57D5751A"/>
    <w:rsid w:val="57E6028A"/>
    <w:rsid w:val="584C6A46"/>
    <w:rsid w:val="58802EFA"/>
    <w:rsid w:val="58846B93"/>
    <w:rsid w:val="58CD6929"/>
    <w:rsid w:val="591104CC"/>
    <w:rsid w:val="592C6DAE"/>
    <w:rsid w:val="593F10D9"/>
    <w:rsid w:val="59931560"/>
    <w:rsid w:val="599C6341"/>
    <w:rsid w:val="5A5C10DB"/>
    <w:rsid w:val="5A6C059E"/>
    <w:rsid w:val="5A6C363C"/>
    <w:rsid w:val="5A764551"/>
    <w:rsid w:val="5A80582D"/>
    <w:rsid w:val="5AA9663A"/>
    <w:rsid w:val="5AC5675A"/>
    <w:rsid w:val="5B151CA5"/>
    <w:rsid w:val="5B2334E2"/>
    <w:rsid w:val="5B296064"/>
    <w:rsid w:val="5B551823"/>
    <w:rsid w:val="5B6B71E3"/>
    <w:rsid w:val="5BC37BC6"/>
    <w:rsid w:val="5BE74EF2"/>
    <w:rsid w:val="5BFF9286"/>
    <w:rsid w:val="5C094C08"/>
    <w:rsid w:val="5C9A00BD"/>
    <w:rsid w:val="5D3F5C81"/>
    <w:rsid w:val="5D773B46"/>
    <w:rsid w:val="5D7D6A26"/>
    <w:rsid w:val="5DD93295"/>
    <w:rsid w:val="5DD96F10"/>
    <w:rsid w:val="5DDA4D34"/>
    <w:rsid w:val="5E033A3D"/>
    <w:rsid w:val="5E7FFF99"/>
    <w:rsid w:val="5E96776E"/>
    <w:rsid w:val="5ECA6B6D"/>
    <w:rsid w:val="5F0E5E9A"/>
    <w:rsid w:val="5F1E5F0B"/>
    <w:rsid w:val="5F493033"/>
    <w:rsid w:val="5FA83B3D"/>
    <w:rsid w:val="5FC06920"/>
    <w:rsid w:val="60A84AE9"/>
    <w:rsid w:val="60C556B6"/>
    <w:rsid w:val="61BE7BE4"/>
    <w:rsid w:val="61CD25DC"/>
    <w:rsid w:val="61D75CBF"/>
    <w:rsid w:val="621A6F1B"/>
    <w:rsid w:val="624301E9"/>
    <w:rsid w:val="624F3DB4"/>
    <w:rsid w:val="625521F4"/>
    <w:rsid w:val="629506BA"/>
    <w:rsid w:val="62A36A65"/>
    <w:rsid w:val="630B3C3E"/>
    <w:rsid w:val="6312185D"/>
    <w:rsid w:val="632543B9"/>
    <w:rsid w:val="63C35534"/>
    <w:rsid w:val="63EF5511"/>
    <w:rsid w:val="65015FBE"/>
    <w:rsid w:val="65220206"/>
    <w:rsid w:val="65A3197D"/>
    <w:rsid w:val="65AC5AFF"/>
    <w:rsid w:val="65C73A35"/>
    <w:rsid w:val="66300AF5"/>
    <w:rsid w:val="66AD242C"/>
    <w:rsid w:val="66C97373"/>
    <w:rsid w:val="66DC1281"/>
    <w:rsid w:val="67666C81"/>
    <w:rsid w:val="678E2A5E"/>
    <w:rsid w:val="67C90D12"/>
    <w:rsid w:val="6804251D"/>
    <w:rsid w:val="68070A3C"/>
    <w:rsid w:val="68813CE9"/>
    <w:rsid w:val="68C43DF0"/>
    <w:rsid w:val="68C83282"/>
    <w:rsid w:val="68CB653F"/>
    <w:rsid w:val="68D114CB"/>
    <w:rsid w:val="68E61D01"/>
    <w:rsid w:val="694C5D57"/>
    <w:rsid w:val="69921857"/>
    <w:rsid w:val="6A940CEE"/>
    <w:rsid w:val="6B12287F"/>
    <w:rsid w:val="6BB114D6"/>
    <w:rsid w:val="6C0C7C8B"/>
    <w:rsid w:val="6C421D63"/>
    <w:rsid w:val="6CBC4FC9"/>
    <w:rsid w:val="6CCF2919"/>
    <w:rsid w:val="6CEE20D3"/>
    <w:rsid w:val="6D4A7538"/>
    <w:rsid w:val="6ECA6E56"/>
    <w:rsid w:val="6ED60463"/>
    <w:rsid w:val="6ED6107E"/>
    <w:rsid w:val="6F322834"/>
    <w:rsid w:val="6F3F3679"/>
    <w:rsid w:val="6F5401F5"/>
    <w:rsid w:val="6F691A4A"/>
    <w:rsid w:val="6FB530BA"/>
    <w:rsid w:val="6FF22107"/>
    <w:rsid w:val="700207B5"/>
    <w:rsid w:val="702D689C"/>
    <w:rsid w:val="70C46AEB"/>
    <w:rsid w:val="70EB7ABF"/>
    <w:rsid w:val="70FE43B3"/>
    <w:rsid w:val="711C4489"/>
    <w:rsid w:val="712562D3"/>
    <w:rsid w:val="716E4A67"/>
    <w:rsid w:val="71721BD1"/>
    <w:rsid w:val="71793AFB"/>
    <w:rsid w:val="71DD1032"/>
    <w:rsid w:val="71E64433"/>
    <w:rsid w:val="720E3881"/>
    <w:rsid w:val="723C03D3"/>
    <w:rsid w:val="724764C5"/>
    <w:rsid w:val="7258373A"/>
    <w:rsid w:val="736516BB"/>
    <w:rsid w:val="73F82A8A"/>
    <w:rsid w:val="741125B4"/>
    <w:rsid w:val="741518DA"/>
    <w:rsid w:val="745A2B63"/>
    <w:rsid w:val="751E7E9B"/>
    <w:rsid w:val="75594181"/>
    <w:rsid w:val="756D0CB9"/>
    <w:rsid w:val="757508B4"/>
    <w:rsid w:val="75A30732"/>
    <w:rsid w:val="75DB138D"/>
    <w:rsid w:val="75ED6A00"/>
    <w:rsid w:val="760A4BC5"/>
    <w:rsid w:val="76174276"/>
    <w:rsid w:val="76EB3B74"/>
    <w:rsid w:val="76EB4746"/>
    <w:rsid w:val="76F6421A"/>
    <w:rsid w:val="77B8100F"/>
    <w:rsid w:val="77CA7D97"/>
    <w:rsid w:val="77CE168E"/>
    <w:rsid w:val="77DD1E5A"/>
    <w:rsid w:val="782B4881"/>
    <w:rsid w:val="78763674"/>
    <w:rsid w:val="78A71853"/>
    <w:rsid w:val="78BC4549"/>
    <w:rsid w:val="791F2C05"/>
    <w:rsid w:val="793B7A66"/>
    <w:rsid w:val="794E163F"/>
    <w:rsid w:val="795C0D09"/>
    <w:rsid w:val="79D34F76"/>
    <w:rsid w:val="79E7490F"/>
    <w:rsid w:val="79E9689D"/>
    <w:rsid w:val="7A054FF1"/>
    <w:rsid w:val="7A2A5025"/>
    <w:rsid w:val="7A421011"/>
    <w:rsid w:val="7A4859EB"/>
    <w:rsid w:val="7A6C5EFC"/>
    <w:rsid w:val="7AA333D6"/>
    <w:rsid w:val="7AD849D2"/>
    <w:rsid w:val="7B30291F"/>
    <w:rsid w:val="7B997D68"/>
    <w:rsid w:val="7BA64E26"/>
    <w:rsid w:val="7BD826AE"/>
    <w:rsid w:val="7BDD417B"/>
    <w:rsid w:val="7C612104"/>
    <w:rsid w:val="7C6527DC"/>
    <w:rsid w:val="7CB97F6A"/>
    <w:rsid w:val="7D505877"/>
    <w:rsid w:val="7D9921AC"/>
    <w:rsid w:val="7DF309DA"/>
    <w:rsid w:val="7E042667"/>
    <w:rsid w:val="7EAE563F"/>
    <w:rsid w:val="7F0C6741"/>
    <w:rsid w:val="7F2E657B"/>
    <w:rsid w:val="7FCE772B"/>
    <w:rsid w:val="CCE91163"/>
    <w:rsid w:val="D6F85521"/>
    <w:rsid w:val="F71EE42D"/>
    <w:rsid w:val="F7DA6908"/>
    <w:rsid w:val="FD7F99FC"/>
    <w:rsid w:val="FFC93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next w:val="3"/>
    <w:qFormat/>
    <w:uiPriority w:val="0"/>
    <w:pPr>
      <w:spacing w:line="480" w:lineRule="exact"/>
    </w:pPr>
    <w:rPr>
      <w:rFonts w:ascii="宋体" w:hAnsi="宋体" w:eastAsia="宋体" w:cs="Courier New"/>
      <w:szCs w:val="21"/>
    </w:rPr>
  </w:style>
  <w:style w:type="paragraph" w:styleId="3">
    <w:name w:val="index 8"/>
    <w:basedOn w:val="1"/>
    <w:next w:val="1"/>
    <w:qFormat/>
    <w:uiPriority w:val="0"/>
    <w:pPr>
      <w:ind w:left="2940"/>
    </w:pPr>
    <w:rPr>
      <w:rFonts w:ascii="Times New Roman" w:hAnsi="Times New Roman" w:eastAsia="宋体" w:cs="Times New Roman"/>
    </w:rPr>
  </w:style>
  <w:style w:type="paragraph" w:styleId="4">
    <w:name w:val="Body Text"/>
    <w:basedOn w:val="1"/>
    <w:unhideWhenUsed/>
    <w:qFormat/>
    <w:uiPriority w:val="99"/>
    <w:pPr>
      <w:spacing w:before="100" w:beforeAutospacing="1" w:after="120"/>
    </w:pPr>
    <w:rPr>
      <w:szCs w:val="21"/>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customStyle="1" w:styleId="8">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59</TotalTime>
  <ScaleCrop>false</ScaleCrop>
  <LinksUpToDate>false</LinksUpToDate>
  <CharactersWithSpaces>0</CharactersWithSpaces>
  <Application>WPS Office_11.8.2.12275_F1E327BC-269C-435d-A152-05C5408002CA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2019-02-22T11:27:00Z</dcterms:created>
  <dc:creator>郭威</dc:creator>
  <cp:lastModifiedBy>lh</cp:lastModifiedBy>
  <cp:lastPrinted>2024-07-26T01:11:00Z</cp:lastPrinted>
  <dcterms:modified xsi:type="dcterms:W3CDTF">2025-08-26T09:36:41Z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2052-11.8.2.12275</vt:lpwstr>
  </property>
  <property fmtid="{D5CDD505-2E9C-101B-9397-08002B2CF9AE}" pid="3" name="ICV">
    <vt:lpwstr>61C6D058401A04B2982AA568DDBF2EA6</vt:lpwstr>
  </property>
</Properties>
</file>