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outlineLvl w:val="0"/>
        <w:rPr>
          <w:rStyle w:val="4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4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Style w:val="4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  <w:t>深圳市品牌展会认定指标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Style w:val="4"/>
          <w:rFonts w:hint="eastAsia" w:ascii="仿宋_GB2312" w:hAnsi="仿宋_GB2312" w:eastAsia="仿宋_GB2312" w:cs="仿宋_GB2312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</w:pPr>
    </w:p>
    <w:tbl>
      <w:tblPr>
        <w:tblStyle w:val="3"/>
        <w:tblW w:w="87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813"/>
        <w:gridCol w:w="1531"/>
        <w:gridCol w:w="4409"/>
        <w:gridCol w:w="9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指标群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权重系数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评分指标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指标说明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规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模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展览面积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5万平方米起计5分，后续每增加0.5万平方米计0.5分，最高35分。面积未达5万平方米的，不予认定。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展商数量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按展商数量从多至少排序，第一名得35分，最后一名不得分，中间等比例打分。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观众人数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按入场观众人数从多至少排序，第一名得15分，最后一名不得分，中间等比例打分。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特装展位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占比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按特装展位总面积占展览面积的比例，从高至低排序，第一名得15分，最后一名不得分，中间等比例打分。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际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影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响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力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按国际展商家数从多至少排序，第一名得20分，最后一名不得分，中间等比例打分。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国际展商展览净面积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按国际展商展览净面积从大至小排序，第一名得20分，最后一名不得分，中间等比例打分。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参展国家（地区）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国际展商所代表的国家（地区）数量。按国家（地区）数量从多至少排序，第一名得20分，最后一名不得分，中间等比例打分。参展国家数量未达3个（含）的不计分。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境外媒体报道数量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按境外媒体报道数量从多至少排序，第一名得20分，最后一名不得分，中间等比例打分。统计范围不包括社交媒体、不含转载。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国际观众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按国际观众人数从多至少排序，第一名得10分，最后一名不得分，中间等比例打分。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会展业认证（荣誉）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数量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每项认证（荣誉）得5分，最高10分。统计范围包括但不限于获得全球展览业协会（UFI）、国际展览与项目协会（IAEE）、独立组展商协会（SISO）等国际会展业权威机构颁发的展会认证或奖项，或入选深圳市展会分类评级《BEST+全球影响力展会》榜单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长</w:t>
            </w:r>
          </w:p>
        </w:tc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展览面积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按展览面积增幅从高至低排序，第一名得50分，最后一名不得分，中间等比例打分。增幅指展会参评届数对比上届在深举办的增长情况。增幅为0或负数不计分。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参展商数量增长率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按展商数量增幅从高至低排序，第一名得30分，最后一名不得分，中间等比例打分。增幅指展会参评届数对比上届在深举办的增长情况。增幅为0或负数不计分。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展会观众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按开展期间入场人数增幅从高至低排序，第一名得20分，最后一名不得分，中间等比例打分。增幅指展会参评届数对比上届在深举办的增长情况。增幅为0或负数不计分。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产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促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进</w:t>
            </w:r>
          </w:p>
        </w:tc>
        <w:tc>
          <w:tcPr>
            <w:tcW w:w="8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新品与成果发布活动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场数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主（承）办单位、合作单位及展商在展会举办的线下新品与成果发布活动。按场数从多至少，第一名得25分，最后一名不得分，中间等比例打分。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成交合作促进活动场数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主（承）办单位、合作单在展会举办的线下成交合作促进活动。按场数从多至少，第一名得25分，最后一名不得分，中间等比例打分。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展会产业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影响力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入选中国会展经济研究会发布的《全国展览分一类行业展览面积前3名项目》榜单得25分；入选《全国展览分二类行业展览面积前3名项目》榜单或深圳市展会分类评级《BEST+产业展会》榜单得15分。同时符合多项得分条件的，分值取高计算，不重复累加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重点参展商比重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重点参展商指世界500强企业、中国500强企业、专精特新“小巨人”</w:t>
            </w:r>
            <w:bookmarkStart w:id="0" w:name="_GoBack"/>
            <w:bookmarkEnd w:id="0"/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企业、“隐形冠军”企业、制造业单项冠军企业、“独角兽”企业。重点参展商数量÷参展商总数量，计算重点参展商比重，按从高至低排序，第一名得25分，最后一名不得分，中间等比例打分。可包括其母公司、全资子公司、控股公司，不包括非控股合资企业、品牌代理、品牌经销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经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营</w:t>
            </w:r>
          </w:p>
        </w:tc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0.05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展位销售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平均价格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展位销售平均价格=展位销售收入（总）÷展览净面积（总）。按平均价格从高至低排序，第一名得50分，最后一名不得分，中间等比例打分。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展会门票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销售收入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门票及观众入场证件销售总收入。按金额从高至低排序，第一名得50分，最后一名不得分，中间等比例打分。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0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可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持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续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与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社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责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任</w:t>
            </w:r>
          </w:p>
        </w:tc>
        <w:tc>
          <w:tcPr>
            <w:tcW w:w="8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0.05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绿色低碳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发展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以末端规范处置作为切入点，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  <w:t>推动展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会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  <w:t>绿色、低碳化发展。根据</w:t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展会产生结构垃圾量（清运量），从低至高排序，最低的得40分，最高的不得分，中间等比例打分。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为弱势群体提供帮助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近三年内为弱势群体提供帮助，形式包括但不限于展会现场为弱势群体提供特殊服务，提供就业机会，捐款\捐物等。每实施1项举措得5分，累计最高30分。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社会责任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履行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近三年内履行企业社会责任的相关举措，包括但不限于支持教育、医疗、扶贫、救灾等领域的发展，采取有效措施减少污染排放、节约资源、推动可持续发展等。每实施1项举措得5分，累计最高30分。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满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意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度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0.05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投诉情况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被投诉举报的总次数。存在5单及以上被不同主体投诉且为主办方责任的，减25分，每增加1单减5分，本项最高50分，减完为止。注：（1）被相同主体通过不同渠道多次投诉的，视为1单投诉；（2）被投诉记录未达5次的，本项不扣分。存在被有关部门通报存在重大舆情，或本项累计扣减达50分的，不予认定</w:t>
            </w:r>
            <w:r>
              <w:rPr>
                <w:rStyle w:val="4"/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展商满意度调查覆盖率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满意度调查样本群体占展商总家数的百分比。样本展商数量÷展会展商总数量，占比30%以上（含）得5分，每增加10%计5分，累计最高25分。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观众满意度调查实施覆盖率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满意度调查样本群体占观众总人数的百分比。样本观众人数÷展会观众总人数，占比30%以上（含）得5分，每增加10%计5分，累计最高25分。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</w:tbl>
    <w:p/>
    <w:sectPr>
      <w:pgSz w:w="11906" w:h="16838"/>
      <w:pgMar w:top="1814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D70E7"/>
    <w:rsid w:val="4CCD70E7"/>
    <w:rsid w:val="540D7E62"/>
    <w:rsid w:val="7A5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FangSong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2025-09-25T06:45:00Z</dcterms:created>
  <dc:creator>网站运维（陈梓标）</dc:creator>
  <cp:lastModifiedBy>网站运维（陈梓标）</cp:lastModifiedBy>
  <dcterms:modified xsi:type="dcterms:W3CDTF">2025-09-26T10:06:28Z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