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outlineLvl w:val="0"/>
        <w:rPr>
          <w:rStyle w:val="4"/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Style w:val="4"/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color w:val="auto"/>
          <w:kern w:val="2"/>
          <w:sz w:val="32"/>
          <w:szCs w:val="32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  <w:r>
        <w:rPr>
          <w:rStyle w:val="4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  <w:t>深圳市新锐品牌展会认定指标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rPr>
          <w:rStyle w:val="4"/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-SA"/>
        </w:rPr>
      </w:pPr>
    </w:p>
    <w:tbl>
      <w:tblPr>
        <w:tblStyle w:val="3"/>
        <w:tblW w:w="495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"/>
        <w:gridCol w:w="1011"/>
        <w:gridCol w:w="1535"/>
        <w:gridCol w:w="4368"/>
        <w:gridCol w:w="10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指标群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权重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系数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评分指标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细项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指标说明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分值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</w:tc>
        <w:tc>
          <w:tcPr>
            <w:tcW w:w="5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0.3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展览面积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增长率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按展览面积增幅从高至低排序，第一名得50分，最后一名不得分，中间等比例打分。参评届数展览面积未达2万平方米的，或对比上届在深举办面积增长未达20%的，不予认定。增幅为0或负数不计分。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参展商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增长率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按签约参展单位家数增幅从高至低排序，第一名得30分，最后一名不得分，中间等比例打分。增幅为0或负数不计分。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观众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增长率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按入场观众人数增幅从高至低排序，第一名得20分，最后一名不得分，中间等比例打分。增幅为0或负数不计分。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</w:trPr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</w:tc>
        <w:tc>
          <w:tcPr>
            <w:tcW w:w="5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0.3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产业影响力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参评届数展会入选中国会展经济研究会《中国展览数据统计报告》中的《全国展览分一类行业展览面积前3名项目》得25分；入选《全国展览分二类行业展览面积前3名项目》或入选深圳市展会分类评级《BEST+产业展会》，得15分。同时符合多项得分条件的，分值取高计算，不重复累加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同期活动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增长率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按同期活动场数增幅从高至低排序，第一名得25分，最后一名不得分，中间等比例打分。增幅为0或负数不计分。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</w:trPr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特装展位面积增长率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按特装展位总面积增幅从高至低排序，第一名得25分，最后一名不得分，中间等比例打分。特装展位指展商在展览光地上自行设计并搭建的特装展台。增幅为0或负数不计分。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3" w:hRule="atLeast"/>
        </w:trPr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重点参展商比重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重点参展商指世界500强企业、中国500强企业、</w:t>
            </w:r>
            <w:bookmarkStart w:id="0" w:name="_GoBack"/>
            <w:bookmarkEnd w:id="0"/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专精特新“小巨人”企业、“隐形冠军”企业、制造业单项冠军企业、“独角兽”企业。重点参展商数量÷参展商总数量，计算重点参展商比重，按从高至低排序，第一名得25分，最后一名不得分，中间等比例打分。可包括其母公司、全资子公司、控股公司，不包括非控股合资企业、品牌代理、品牌经销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</w:trPr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</w:tc>
        <w:tc>
          <w:tcPr>
            <w:tcW w:w="5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0.2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国际展商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增长率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国际展商指注册地在中国境外的参展单位（下同）。按国际展商家数增幅从高至低排序，第一名得50分，最后一名不得分，中间等比例打分。增幅为0或负数不计分。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5" w:hRule="atLeast"/>
        </w:trPr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参展国家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（地区）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增长率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国际展商所代表的国家（地区）数量。按国家（地区）数量增幅从高至低排序，第一名得50分，最后一名不得分，中间等比例打分。参展国家（地区）数量3个以下的，本项不得分。增幅为0或负数不计分。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</w:tc>
        <w:tc>
          <w:tcPr>
            <w:tcW w:w="5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0.1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展位销售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总收入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按展位销售总收入增幅从高至低排序，第一名得50分，最后一名不得分，中间等比例打分。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展会门票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销售收入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按展会门票及观众入场证件销售总收入增幅从高至低排序，第一名为50分，最后一名不得分，中间等比例打分</w:t>
            </w:r>
            <w:r>
              <w:rPr>
                <w:rStyle w:val="4"/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6" w:hRule="atLeast"/>
        </w:trPr>
        <w:tc>
          <w:tcPr>
            <w:tcW w:w="6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织</w:t>
            </w:r>
          </w:p>
        </w:tc>
        <w:tc>
          <w:tcPr>
            <w:tcW w:w="5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0.1</w:t>
            </w: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绿色低碳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发展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以末端规范处置作为切入点，推动展会绿色、低碳化发展。根据展会产生结构垃圾量（清运量），从低至高排序，产生垃圾量最低的得50分，产生垃圾量最高的不得分，中间等比例打分。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9" w:hRule="atLeast"/>
        </w:trPr>
        <w:tc>
          <w:tcPr>
            <w:tcW w:w="6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展会满意度</w:t>
            </w:r>
          </w:p>
        </w:tc>
        <w:tc>
          <w:tcPr>
            <w:tcW w:w="24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被投诉举报的总次数。存在5单及以上被不同主体投诉且为主办方责任的，减25分，每增加1单减5分，本项最高50分，减完为止。注：（1）被相同主体通过不同渠道多次投诉的，视为1单投诉；（2）被投诉记录未达5次的，本项不扣分。存在被有关部门通报存在重大舆情，或本项累计扣减达50分的，不予认定。</w:t>
            </w:r>
          </w:p>
        </w:tc>
        <w:tc>
          <w:tcPr>
            <w:tcW w:w="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-SA"/>
              </w:rPr>
              <w:t>统计说明：增幅统计口径为展会参评届数对比上届在深举办的增长情况。</w:t>
            </w:r>
          </w:p>
        </w:tc>
      </w:tr>
    </w:tbl>
    <w:p/>
    <w:sectPr>
      <w:pgSz w:w="11906" w:h="16838"/>
      <w:pgMar w:top="1814" w:right="1474" w:bottom="181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3272D"/>
    <w:rsid w:val="1072493A"/>
    <w:rsid w:val="540D7E62"/>
    <w:rsid w:val="5903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spacing w:before="0" w:beforeAutospacing="0" w:after="0"/>
      <w:ind w:firstLine="200" w:firstLineChars="200"/>
    </w:pPr>
    <w:rPr>
      <w:rFonts w:ascii="宋体" w:hAnsi="宋体" w:eastAsia="FangSong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2025-09-25T06:46:00Z</dcterms:created>
  <dc:creator>网站运维（陈梓标）</dc:creator>
  <cp:lastModifiedBy>网站运维（陈梓标）</cp:lastModifiedBy>
  <dcterms:modified xsi:type="dcterms:W3CDTF">2025-09-28T03:00:38Z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