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C26A1">
      <w:pPr>
        <w:keepNext w:val="0"/>
        <w:keepLines w:val="0"/>
        <w:pageBreakBefore w:val="0"/>
        <w:widowControl w:val="0"/>
        <w:kinsoku/>
        <w:wordWrap/>
        <w:overflowPunct/>
        <w:topLinePunct w:val="0"/>
        <w:autoSpaceDE/>
        <w:autoSpaceDN/>
        <w:bidi w:val="0"/>
        <w:adjustRightInd/>
        <w:snapToGrid/>
        <w:spacing w:line="396" w:lineRule="atLeast"/>
        <w:ind w:firstLine="0" w:firstLineChars="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附件</w:t>
      </w:r>
    </w:p>
    <w:p w14:paraId="0D66AA8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b w:val="0"/>
          <w:bCs w:val="0"/>
          <w:spacing w:val="0"/>
          <w:kern w:val="21"/>
          <w:sz w:val="36"/>
          <w:szCs w:val="36"/>
          <w:lang w:val="en-US" w:eastAsia="zh-CN"/>
        </w:rPr>
      </w:pPr>
      <w:r>
        <w:rPr>
          <w:rFonts w:hint="eastAsia" w:ascii="宋体" w:hAnsi="宋体" w:eastAsia="宋体" w:cs="宋体"/>
          <w:b w:val="0"/>
          <w:bCs w:val="0"/>
          <w:spacing w:val="0"/>
          <w:kern w:val="21"/>
          <w:sz w:val="36"/>
          <w:szCs w:val="36"/>
          <w:lang w:val="en-US" w:eastAsia="zh-CN"/>
        </w:rPr>
        <w:t>深圳市现代商贸流通体系试点城市</w:t>
      </w:r>
    </w:p>
    <w:p w14:paraId="7AE028B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b w:val="0"/>
          <w:bCs w:val="0"/>
          <w:spacing w:val="0"/>
          <w:kern w:val="21"/>
          <w:sz w:val="36"/>
          <w:szCs w:val="36"/>
          <w:lang w:val="en-US" w:eastAsia="zh-CN"/>
        </w:rPr>
      </w:pPr>
      <w:r>
        <w:rPr>
          <w:rFonts w:hint="eastAsia" w:ascii="宋体" w:hAnsi="宋体" w:eastAsia="宋体" w:cs="宋体"/>
          <w:b w:val="0"/>
          <w:bCs w:val="0"/>
          <w:spacing w:val="0"/>
          <w:kern w:val="21"/>
          <w:sz w:val="36"/>
          <w:szCs w:val="36"/>
          <w:lang w:val="en-US" w:eastAsia="zh-CN"/>
        </w:rPr>
        <w:t>建设专项资金管理办法</w:t>
      </w:r>
    </w:p>
    <w:p w14:paraId="1173A729">
      <w:pPr>
        <w:keepNext w:val="0"/>
        <w:keepLines w:val="0"/>
        <w:pageBreakBefore w:val="0"/>
        <w:widowControl w:val="0"/>
        <w:kinsoku/>
        <w:wordWrap/>
        <w:overflowPunct/>
        <w:topLinePunct w:val="0"/>
        <w:autoSpaceDE/>
        <w:autoSpaceDN/>
        <w:bidi w:val="0"/>
        <w:adjustRightInd/>
        <w:snapToGrid/>
        <w:spacing w:before="95" w:beforeLines="30" w:line="396" w:lineRule="atLeast"/>
        <w:ind w:firstLine="0" w:firstLineChars="0"/>
        <w:jc w:val="center"/>
        <w:textAlignment w:val="auto"/>
        <w:rPr>
          <w:rFonts w:hint="eastAsia" w:ascii="仿宋_GB2312" w:hAnsi="仿宋_GB2312" w:eastAsia="仿宋_GB2312" w:cs="仿宋_GB2312"/>
          <w:b w:val="0"/>
          <w:bCs w:val="0"/>
          <w:spacing w:val="0"/>
          <w:kern w:val="21"/>
          <w:sz w:val="24"/>
          <w:szCs w:val="24"/>
          <w:lang w:val="en-US" w:eastAsia="zh-CN"/>
        </w:rPr>
      </w:pPr>
      <w:r>
        <w:rPr>
          <w:rFonts w:hint="eastAsia" w:ascii="仿宋_GB2312" w:hAnsi="仿宋_GB2312" w:eastAsia="仿宋_GB2312" w:cs="仿宋_GB2312"/>
          <w:b w:val="0"/>
          <w:bCs w:val="0"/>
          <w:spacing w:val="0"/>
          <w:kern w:val="21"/>
          <w:sz w:val="24"/>
          <w:szCs w:val="24"/>
          <w:lang w:val="en-US" w:eastAsia="zh-CN"/>
        </w:rPr>
        <w:t>（2026年修订后全文）</w:t>
      </w:r>
    </w:p>
    <w:p w14:paraId="3184C6BA">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p>
    <w:p w14:paraId="54EDDAF9">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r>
        <w:rPr>
          <w:rFonts w:hint="eastAsia" w:ascii="黑体" w:hAnsi="黑体" w:eastAsia="黑体" w:cs="黑体"/>
          <w:b w:val="0"/>
          <w:bCs w:val="0"/>
          <w:spacing w:val="0"/>
          <w:kern w:val="21"/>
          <w:sz w:val="24"/>
          <w:szCs w:val="24"/>
          <w:lang w:val="en-US" w:eastAsia="zh-CN"/>
        </w:rPr>
        <w:t>第一章  总    则</w:t>
      </w:r>
    </w:p>
    <w:p w14:paraId="5D0D5D5D">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p>
    <w:p w14:paraId="5B5706AE">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第一条</w:t>
      </w:r>
      <w:r>
        <w:rPr>
          <w:rFonts w:hint="eastAsia" w:ascii="宋体" w:hAnsi="宋体" w:eastAsia="宋体" w:cs="宋体"/>
          <w:b w:val="0"/>
          <w:bCs w:val="0"/>
          <w:spacing w:val="0"/>
          <w:kern w:val="21"/>
          <w:sz w:val="24"/>
          <w:szCs w:val="24"/>
          <w:lang w:val="en-US" w:eastAsia="zh-CN"/>
        </w:rPr>
        <w:t xml:space="preserve">  为规范我市现代商贸流通体系试点城市建设资金使用管理，充分发挥财政资金的引导作用，促进我市现代商贸流通体系建设高质量发展，根据《服务业发展资金管理办法》（财建〔2023〕9号）、《财政部办公厅 商务部办公厅关于支持建设现代商贸流通体系试点城市的通知》（财办建〔2024〕21号）等有关规定，结合我市实际，制定本办法。</w:t>
      </w:r>
    </w:p>
    <w:p w14:paraId="0860BC92">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第二条</w:t>
      </w:r>
      <w:r>
        <w:rPr>
          <w:rFonts w:hint="eastAsia" w:ascii="宋体" w:hAnsi="宋体" w:eastAsia="宋体" w:cs="宋体"/>
          <w:b w:val="0"/>
          <w:bCs w:val="0"/>
          <w:spacing w:val="0"/>
          <w:kern w:val="21"/>
          <w:sz w:val="24"/>
          <w:szCs w:val="24"/>
          <w:lang w:val="en-US" w:eastAsia="zh-CN"/>
        </w:rPr>
        <w:t xml:space="preserve">  本办法所称现代商贸流通体系建设专项资金（以下简称专项资金），是指中央拨付的支持试点城市现代商贸流通体系建设的专项资金。</w:t>
      </w:r>
    </w:p>
    <w:p w14:paraId="37A7395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第三条</w:t>
      </w:r>
      <w:r>
        <w:rPr>
          <w:rFonts w:hint="eastAsia" w:ascii="宋体" w:hAnsi="宋体" w:eastAsia="宋体" w:cs="宋体"/>
          <w:b w:val="0"/>
          <w:bCs w:val="0"/>
          <w:spacing w:val="0"/>
          <w:kern w:val="21"/>
          <w:sz w:val="24"/>
          <w:szCs w:val="24"/>
          <w:lang w:val="en-US" w:eastAsia="zh-CN"/>
        </w:rPr>
        <w:t xml:space="preserve">  专项资金的使用和管理应当遵循突出重点、合理安排、公平公正、规范有效的原则，紧密围绕财政部、商务部关于现代商贸流通体系试点城市建设的工作部署，实行“预算控制、自愿申报、形式审查、专项审计、资质审查、部门决策、绩效评价”的管理模式。</w:t>
      </w:r>
    </w:p>
    <w:p w14:paraId="255CDC41">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第四条</w:t>
      </w:r>
      <w:r>
        <w:rPr>
          <w:rFonts w:hint="eastAsia" w:ascii="宋体" w:hAnsi="宋体" w:eastAsia="宋体" w:cs="宋体"/>
          <w:b w:val="0"/>
          <w:bCs w:val="0"/>
          <w:spacing w:val="0"/>
          <w:kern w:val="21"/>
          <w:sz w:val="24"/>
          <w:szCs w:val="24"/>
          <w:lang w:val="en-US" w:eastAsia="zh-CN"/>
        </w:rPr>
        <w:t xml:space="preserve">  专项资金由市、区两级商务、财政部门共同管理，并按照下列职责分工做好具体管理、使用和监督等相关工作：</w:t>
      </w:r>
    </w:p>
    <w:p w14:paraId="78A86DE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（一）市商务局负责组织做好项目申报通知、事中监管、评估等管理工作；确定资金分配方案，会同市财政局做好专项资金绩效评价工作；配合做好资金监管相关工作。</w:t>
      </w:r>
    </w:p>
    <w:p w14:paraId="02A25872">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（二）市财政局负责做好专项资金的下达及资金监管等相关工作，并为市级商务部门开展现代商贸流通体系试点专项工作提供必要经费保障。</w:t>
      </w:r>
    </w:p>
    <w:p w14:paraId="0CC71036">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三）各区（含大鹏新区、深汕特别合作区，下同）商务部门、前海管理局（以下统称区级商务部门）负责做好项目征集、审核、验收、汇总上报及项目日常管理工作；按规定要求做好专项资金绩效评价等材料报送工作；负责专项资金拨付，并配合做好资金监管相关工作。</w:t>
      </w:r>
    </w:p>
    <w:p w14:paraId="3B6199C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（四）各区财政部门、前海管理局（以下统称区级财政部门）负责专项资金日常监管工作；配合做好项目管理工作，并为区级商务部门开展现代商贸流通体系试点专项工作提供必要经费保障。</w:t>
      </w:r>
    </w:p>
    <w:p w14:paraId="4CE4E1B9">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p>
    <w:p w14:paraId="7329B55B">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r>
        <w:rPr>
          <w:rFonts w:hint="eastAsia" w:ascii="黑体" w:hAnsi="黑体" w:eastAsia="黑体" w:cs="黑体"/>
          <w:b w:val="0"/>
          <w:bCs w:val="0"/>
          <w:spacing w:val="0"/>
          <w:kern w:val="21"/>
          <w:sz w:val="24"/>
          <w:szCs w:val="24"/>
          <w:lang w:val="en-US" w:eastAsia="zh-CN"/>
        </w:rPr>
        <w:t>第二章  支持范围、方向、方式、标准</w:t>
      </w:r>
    </w:p>
    <w:p w14:paraId="761725A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黑体" w:cs="宋体"/>
          <w:b w:val="0"/>
          <w:bCs w:val="0"/>
          <w:spacing w:val="0"/>
          <w:kern w:val="21"/>
          <w:sz w:val="24"/>
          <w:szCs w:val="24"/>
          <w:lang w:val="en-US" w:eastAsia="zh-CN"/>
        </w:rPr>
      </w:pPr>
    </w:p>
    <w:p w14:paraId="0450BC2D">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第五条</w:t>
      </w:r>
      <w:r>
        <w:rPr>
          <w:rFonts w:hint="eastAsia" w:ascii="宋体" w:hAnsi="宋体" w:eastAsia="宋体" w:cs="宋体"/>
          <w:b w:val="0"/>
          <w:bCs w:val="0"/>
          <w:spacing w:val="0"/>
          <w:kern w:val="21"/>
          <w:sz w:val="24"/>
          <w:szCs w:val="24"/>
          <w:lang w:val="en-US" w:eastAsia="zh-CN"/>
        </w:rPr>
        <w:t xml:space="preserve">  专项资金支持范围如下：</w:t>
      </w:r>
    </w:p>
    <w:p w14:paraId="74B46B5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一）推动城乡商贸流通融合发展。支持骨干市场设施升级、信息化改造等，提升集散、跨区域调运和宏观调控水平，加强标准化菜市场改造。支持建设改造区域冷链物流基地，与国家骨干冷链物流基地、产地冷链保鲜设施等错位衔接，畅通工业品下乡和农产品进城。支持商贸流通领域物流标准化、智慧化改造，推广智能仓配、自动分拣、无人配送等设施设备，发展第三方物流、提高流通效率。</w:t>
      </w:r>
    </w:p>
    <w:p w14:paraId="3011CAE3">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二）建设生活必需品流通保供体系。聚焦生活必需品重点品种，建设改造流通保供重大设施，优化网络布局。提升农产品批发市场流通保供能力，增强储存、加工、分拣等功能。提高骨干仓储加工配送能力和效率，布局一批区域应急保供中心仓。强化消费终端网络网点建设，提升末端配送、应急投放能力。完善生活必需品储备调控体系，加强肉、菜、小包装和应急食品等储备建设。改进信息监测和预测预警。建设改造“平急两用”备用场地等，预置部分设备设施。</w:t>
      </w:r>
    </w:p>
    <w:p w14:paraId="2AEEABB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三）加快培育现代流通骨干企业。支持传统批发零售企业数字化转型，整合线上线下营销网络，发展集中采购、统仓统配、即时零售等，向社区和村镇延伸服务。大力发展现代供应链，依托骨干流通企业建设数字供应链服务平台，提供国内外市场开拓、品牌孵化、集采集配等服务，为中小企业发展赋能。鼓励骨干物流企业与现代农业、先进制造业、生活服务业跨界融合，构建产供销储运协同供应链，加快推动产业转型升级。</w:t>
      </w:r>
    </w:p>
    <w:p w14:paraId="7AE909F6">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四）完善城乡再生资源回收体系。支持新建、改扩建废旧家电专业型分拣中心以及包含废旧家电家具等业务的综合性再生资源分拣中心，拓展再生资源集聚、分拣、消纳等功能。支持建设废旧家电家具等再生资源中转站点或配套设施，畅通家电消费循环。</w:t>
      </w:r>
    </w:p>
    <w:p w14:paraId="0F367EB6">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（五）经商务部、财政部批准的其他需要支持的范围。</w:t>
      </w:r>
    </w:p>
    <w:p w14:paraId="092EC79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第六条</w:t>
      </w:r>
      <w:r>
        <w:rPr>
          <w:rFonts w:hint="eastAsia" w:ascii="宋体" w:hAnsi="宋体" w:eastAsia="宋体" w:cs="宋体"/>
          <w:b w:val="0"/>
          <w:bCs w:val="0"/>
          <w:spacing w:val="0"/>
          <w:kern w:val="21"/>
          <w:sz w:val="24"/>
          <w:szCs w:val="24"/>
          <w:lang w:val="en-US" w:eastAsia="zh-CN"/>
        </w:rPr>
        <w:t xml:space="preserve">  重点支持方向如下：</w:t>
      </w:r>
    </w:p>
    <w:p w14:paraId="565AA08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（一）推动城乡商贸流通融合发展方向的重点支持方向如下：</w:t>
      </w:r>
    </w:p>
    <w:p w14:paraId="6A6D837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1．支持流通企业、电商、邮政、供销、快递等企业发展共同配送服务。支持新建和改造一批智能末端配送设施，鼓励智能快件箱、无人售货机等智能终端布设，推动无人车、无人机等智慧配送设备投入使用。</w:t>
      </w:r>
    </w:p>
    <w:p w14:paraId="3A4BBE46">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支持商贸、电商、快递、物流企业建设分拣、预冷、初加工、配送等商品化处理设施，拓宽农产品上行渠道。支持商贸物流企业建设标准化仓储，在车辆、托盘、周转筐等相关设施设备方面实施标准化、智慧化、绿色化改造，推广智能仓配、自动分拣、无人配送、新能源物流车等设施设备，建立标准物流载具循环共用体系。</w:t>
      </w:r>
    </w:p>
    <w:p w14:paraId="044AF366">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3．推动智慧商圈建设，支持研发和应用数字化系统及技术，建设数字消费场景。支持智慧商圈设施改造升级和服务能级提升，吸引国内外知名品牌首店入驻。</w:t>
      </w:r>
    </w:p>
    <w:p w14:paraId="2007B25F">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（二）建设生活必需品流通保供体系方向的重点支持方向如下：</w:t>
      </w:r>
    </w:p>
    <w:p w14:paraId="7272610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支持农产品批发市场整体交易场地建设（包括新建和改造扩建）。完善存储、加工、分拣、配送、冷链、检测、污废处理等配套服务设施设备及市场日常安全管理设施配套，加强电子结算、供应监测、安全管理等系统建设。支持菜市场围绕环境布局、功能完善及配套设施设备等进行标准化升级改造。建设基于标准化菜市场经营管理制度的市场智慧管理系统，配备基于市场智慧管理系统的智能（识别）电子秤、电子大屏、智能监控、移动端设备等信息化、数字化配套设备等。</w:t>
      </w:r>
    </w:p>
    <w:p w14:paraId="752BC7CB">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2．支持超市卖场、传统零售企业等进行数字化升级改造，整合线上线下资源，拓展消费新业态新场景，支持超市卖场企业扩大网点覆盖面。</w:t>
      </w:r>
    </w:p>
    <w:p w14:paraId="25D96F8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支持电商企业改造和新建一批电商大仓和前置仓，应用智能仓配、自动分拣、温控、加工、查验等设施设备。支持大型流通企业布局多级物流仓储设施，提供直供直销、集中采购、统一配送、库存管理等服务。</w:t>
      </w:r>
    </w:p>
    <w:p w14:paraId="467861E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4．支持企业根据“平急两用”公共基础设施建设和市场拓展需求，建设粮食储备库。</w:t>
      </w:r>
    </w:p>
    <w:p w14:paraId="69427B52">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5．支持中央厨房和集体用餐配送企业改造升级设施设备，加大在安全生产、油烟污染治理和节能等方面的投入。</w:t>
      </w:r>
    </w:p>
    <w:p w14:paraId="6EA1467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（三）加快培育现代流通骨干企业方向的重点支持方向如下：</w:t>
      </w:r>
    </w:p>
    <w:p w14:paraId="4EB7321C">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1．支持商贸流通企业创新商业模式，建设数字供应链服务平台，升级改造相关设施设备。支持现代供应链企业与产业跨界融合，构建产供销储运协同供应链平台。</w:t>
      </w:r>
    </w:p>
    <w:p w14:paraId="77540DD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2．支持生产性互联网服务平台发展，打造高质量产业生态。鼓励电子商务企业、数字服务企业聚焦商贸流通领域，加大对新技术、新场景的探索与投入，提升数字化、智能化水平。</w:t>
      </w:r>
    </w:p>
    <w:p w14:paraId="49EB90E9">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支持药品流通企业建设现代化、高标准的医药仓储基地。根据药品流通的市场拓展需求，优化库区布点建设。支持药品流通企业运用大数据、人工智能、区块链等技术，提升供应链的智慧化水平。支持建设药品流通行业管理及物流、仓储、运输、调度等信息平台。</w:t>
      </w:r>
    </w:p>
    <w:p w14:paraId="2BFD3A1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（四）建设城乡再生资源回收体系的重点支持方向如下：</w:t>
      </w:r>
    </w:p>
    <w:p w14:paraId="1B918A33">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1．支持废旧家电家具等再生资源回收体系典型企业，促进废弃电器电子产品以旧换新回收处理工作。</w:t>
      </w:r>
    </w:p>
    <w:p w14:paraId="095B8432">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发展“互联网＋回收”新模式，支持再生资源回收利用企业全流程可追溯管理系统信息化建设和数字化配套设备（如电子秤、电子屏、移动端设备、收运车辆GPS）等，建设线上线下相结合的再生资源回收利用信息化平台。</w:t>
      </w:r>
    </w:p>
    <w:p w14:paraId="1BBDE51B">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3．支持再生资源回收示范点建设，支持企业进街道、进社区建设回收网点、设置智能回收箱。支持再生资源回收中转站设备升级改造。支持建设符合商务部绿色分拣中心标准的综合型、专业型绿色分拣中心。</w:t>
      </w:r>
    </w:p>
    <w:p w14:paraId="1382696C">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（五）经商务部、财政部批准的其他需要支持的事项。</w:t>
      </w:r>
    </w:p>
    <w:p w14:paraId="37625449">
      <w:pPr>
        <w:keepNext w:val="0"/>
        <w:keepLines w:val="0"/>
        <w:pageBreakBefore w:val="0"/>
        <w:widowControl w:val="0"/>
        <w:kinsoku/>
        <w:wordWrap/>
        <w:overflowPunct/>
        <w:topLinePunct w:val="0"/>
        <w:autoSpaceDE/>
        <w:autoSpaceDN/>
        <w:bidi w:val="0"/>
        <w:adjustRightInd/>
        <w:snapToGrid/>
        <w:spacing w:after="157" w:afterLines="50"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第七条</w:t>
      </w:r>
      <w:r>
        <w:rPr>
          <w:rFonts w:hint="eastAsia" w:ascii="宋体" w:hAnsi="宋体" w:eastAsia="宋体" w:cs="宋体"/>
          <w:b w:val="0"/>
          <w:bCs w:val="0"/>
          <w:spacing w:val="0"/>
          <w:kern w:val="21"/>
          <w:sz w:val="24"/>
          <w:szCs w:val="24"/>
          <w:lang w:val="en-US" w:eastAsia="zh-CN"/>
        </w:rPr>
        <w:t xml:space="preserve">  专项资金采取事前立项、分期资助的方式。根据中央财政下达的资金规模，对于符合条件的项目按照以下标准分批给予补助：</w:t>
      </w:r>
    </w:p>
    <w:tbl>
      <w:tblPr>
        <w:tblStyle w:val="8"/>
        <w:tblW w:w="491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0" w:type="dxa"/>
          <w:bottom w:w="0" w:type="dxa"/>
          <w:right w:w="0" w:type="dxa"/>
        </w:tblCellMar>
      </w:tblPr>
      <w:tblGrid>
        <w:gridCol w:w="4444"/>
        <w:gridCol w:w="4444"/>
      </w:tblGrid>
      <w:tr w14:paraId="3D2B1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27993446">
            <w:pPr>
              <w:pStyle w:val="3"/>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Style w:val="9"/>
                <w:rFonts w:hint="eastAsia" w:ascii="黑体" w:hAnsi="黑体" w:eastAsia="黑体" w:cs="黑体"/>
                <w:bCs/>
                <w:color w:val="000000"/>
                <w:kern w:val="36"/>
                <w:sz w:val="21"/>
                <w:szCs w:val="21"/>
              </w:rPr>
            </w:pPr>
            <w:r>
              <w:rPr>
                <w:rStyle w:val="9"/>
                <w:rFonts w:hint="eastAsia" w:ascii="黑体" w:hAnsi="黑体" w:eastAsia="黑体" w:cs="黑体"/>
                <w:bCs/>
                <w:color w:val="000000"/>
                <w:kern w:val="36"/>
                <w:sz w:val="21"/>
                <w:szCs w:val="21"/>
              </w:rPr>
              <w:t>投资额（万元）</w:t>
            </w:r>
          </w:p>
        </w:tc>
        <w:tc>
          <w:tcPr>
            <w:tcW w:w="4444" w:type="dxa"/>
            <w:tcBorders>
              <w:tl2br w:val="nil"/>
              <w:tr2bl w:val="nil"/>
            </w:tcBorders>
            <w:shd w:val="clear" w:color="auto" w:fill="FFFFFF"/>
            <w:noWrap/>
            <w:tcMar>
              <w:left w:w="70" w:type="dxa"/>
              <w:right w:w="70" w:type="dxa"/>
            </w:tcMar>
            <w:vAlign w:val="center"/>
          </w:tcPr>
          <w:p w14:paraId="3CD0633D">
            <w:pPr>
              <w:pStyle w:val="3"/>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Style w:val="9"/>
                <w:rFonts w:hint="eastAsia" w:ascii="黑体" w:hAnsi="黑体" w:eastAsia="黑体" w:cs="黑体"/>
                <w:bCs/>
                <w:color w:val="000000"/>
                <w:kern w:val="36"/>
                <w:sz w:val="21"/>
                <w:szCs w:val="21"/>
              </w:rPr>
            </w:pPr>
            <w:r>
              <w:rPr>
                <w:rStyle w:val="9"/>
                <w:rFonts w:hint="eastAsia" w:ascii="黑体" w:hAnsi="黑体" w:eastAsia="黑体" w:cs="黑体"/>
                <w:bCs/>
                <w:color w:val="000000"/>
                <w:kern w:val="36"/>
                <w:sz w:val="21"/>
                <w:szCs w:val="21"/>
              </w:rPr>
              <w:t>补助金额（万元）</w:t>
            </w:r>
          </w:p>
        </w:tc>
      </w:tr>
      <w:tr w14:paraId="5A271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76BA4337">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Fonts w:hint="eastAsia" w:ascii="宋体" w:hAnsi="宋体" w:eastAsia="宋体" w:cs="宋体"/>
                <w:sz w:val="21"/>
                <w:szCs w:val="21"/>
              </w:rPr>
              <w:t>投资额</w:t>
            </w:r>
            <w:r>
              <w:rPr>
                <w:rFonts w:hint="eastAsia" w:ascii="宋体" w:hAnsi="宋体" w:eastAsia="宋体" w:cs="宋体"/>
                <w:sz w:val="21"/>
                <w:szCs w:val="21"/>
                <w:lang w:eastAsia="zh-CN"/>
              </w:rPr>
              <w:t>≥</w:t>
            </w:r>
            <w:r>
              <w:rPr>
                <w:rStyle w:val="9"/>
                <w:rFonts w:hint="eastAsia" w:ascii="宋体" w:hAnsi="宋体" w:eastAsia="宋体" w:cs="宋体"/>
                <w:color w:val="000000"/>
                <w:kern w:val="0"/>
                <w:sz w:val="21"/>
                <w:szCs w:val="21"/>
              </w:rPr>
              <w:t>10000</w:t>
            </w:r>
          </w:p>
        </w:tc>
        <w:tc>
          <w:tcPr>
            <w:tcW w:w="4444" w:type="dxa"/>
            <w:tcBorders>
              <w:tl2br w:val="nil"/>
              <w:tr2bl w:val="nil"/>
            </w:tcBorders>
            <w:shd w:val="clear" w:color="auto" w:fill="FFFFFF"/>
            <w:noWrap/>
            <w:tcMar>
              <w:left w:w="70" w:type="dxa"/>
              <w:right w:w="70" w:type="dxa"/>
            </w:tcMar>
            <w:vAlign w:val="center"/>
          </w:tcPr>
          <w:p w14:paraId="667E80E2">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1500</w:t>
            </w:r>
          </w:p>
        </w:tc>
      </w:tr>
      <w:tr w14:paraId="2ACEA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0D202BEE">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lang w:eastAsia="zh-CN"/>
              </w:rPr>
            </w:pPr>
            <w:r>
              <w:rPr>
                <w:rStyle w:val="9"/>
                <w:rFonts w:hint="eastAsia" w:ascii="宋体" w:hAnsi="宋体" w:eastAsia="宋体" w:cs="宋体"/>
                <w:color w:val="000000"/>
                <w:kern w:val="0"/>
                <w:sz w:val="21"/>
                <w:szCs w:val="21"/>
              </w:rPr>
              <w:t>9000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10000</w:t>
            </w:r>
          </w:p>
        </w:tc>
        <w:tc>
          <w:tcPr>
            <w:tcW w:w="4444" w:type="dxa"/>
            <w:tcBorders>
              <w:tl2br w:val="nil"/>
              <w:tr2bl w:val="nil"/>
            </w:tcBorders>
            <w:shd w:val="clear" w:color="auto" w:fill="FFFFFF"/>
            <w:noWrap/>
            <w:tcMar>
              <w:left w:w="70" w:type="dxa"/>
              <w:right w:w="70" w:type="dxa"/>
            </w:tcMar>
            <w:vAlign w:val="center"/>
          </w:tcPr>
          <w:p w14:paraId="4E03D36D">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1350</w:t>
            </w:r>
          </w:p>
        </w:tc>
      </w:tr>
      <w:tr w14:paraId="04946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39938020">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8000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9000</w:t>
            </w:r>
          </w:p>
        </w:tc>
        <w:tc>
          <w:tcPr>
            <w:tcW w:w="4444" w:type="dxa"/>
            <w:tcBorders>
              <w:tl2br w:val="nil"/>
              <w:tr2bl w:val="nil"/>
            </w:tcBorders>
            <w:shd w:val="clear" w:color="auto" w:fill="FFFFFF"/>
            <w:noWrap/>
            <w:tcMar>
              <w:left w:w="70" w:type="dxa"/>
              <w:right w:w="70" w:type="dxa"/>
            </w:tcMar>
            <w:vAlign w:val="center"/>
          </w:tcPr>
          <w:p w14:paraId="29B3CAA3">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1200</w:t>
            </w:r>
          </w:p>
        </w:tc>
      </w:tr>
      <w:tr w14:paraId="1236F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7D7D1D80">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7000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8000</w:t>
            </w:r>
          </w:p>
        </w:tc>
        <w:tc>
          <w:tcPr>
            <w:tcW w:w="4444" w:type="dxa"/>
            <w:tcBorders>
              <w:tl2br w:val="nil"/>
              <w:tr2bl w:val="nil"/>
            </w:tcBorders>
            <w:shd w:val="clear" w:color="auto" w:fill="FFFFFF"/>
            <w:noWrap/>
            <w:tcMar>
              <w:left w:w="70" w:type="dxa"/>
              <w:right w:w="70" w:type="dxa"/>
            </w:tcMar>
            <w:vAlign w:val="center"/>
          </w:tcPr>
          <w:p w14:paraId="3A7B8054">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1050</w:t>
            </w:r>
          </w:p>
        </w:tc>
      </w:tr>
      <w:tr w14:paraId="6657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354E8BE6">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6000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7000</w:t>
            </w:r>
          </w:p>
        </w:tc>
        <w:tc>
          <w:tcPr>
            <w:tcW w:w="4444" w:type="dxa"/>
            <w:tcBorders>
              <w:tl2br w:val="nil"/>
              <w:tr2bl w:val="nil"/>
            </w:tcBorders>
            <w:shd w:val="clear" w:color="auto" w:fill="FFFFFF"/>
            <w:noWrap/>
            <w:tcMar>
              <w:left w:w="70" w:type="dxa"/>
              <w:right w:w="70" w:type="dxa"/>
            </w:tcMar>
            <w:vAlign w:val="center"/>
          </w:tcPr>
          <w:p w14:paraId="76D7DF54">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900</w:t>
            </w:r>
          </w:p>
        </w:tc>
      </w:tr>
      <w:tr w14:paraId="653A7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5047FA14">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5000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6000</w:t>
            </w:r>
          </w:p>
        </w:tc>
        <w:tc>
          <w:tcPr>
            <w:tcW w:w="4444" w:type="dxa"/>
            <w:tcBorders>
              <w:tl2br w:val="nil"/>
              <w:tr2bl w:val="nil"/>
            </w:tcBorders>
            <w:shd w:val="clear" w:color="auto" w:fill="FFFFFF"/>
            <w:noWrap/>
            <w:tcMar>
              <w:left w:w="70" w:type="dxa"/>
              <w:right w:w="70" w:type="dxa"/>
            </w:tcMar>
            <w:vAlign w:val="center"/>
          </w:tcPr>
          <w:p w14:paraId="62116074">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750</w:t>
            </w:r>
          </w:p>
        </w:tc>
      </w:tr>
      <w:tr w14:paraId="3A1FB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5E0B67E1">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4000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5000</w:t>
            </w:r>
          </w:p>
        </w:tc>
        <w:tc>
          <w:tcPr>
            <w:tcW w:w="4444" w:type="dxa"/>
            <w:tcBorders>
              <w:tl2br w:val="nil"/>
              <w:tr2bl w:val="nil"/>
            </w:tcBorders>
            <w:shd w:val="clear" w:color="auto" w:fill="FFFFFF"/>
            <w:noWrap/>
            <w:tcMar>
              <w:left w:w="70" w:type="dxa"/>
              <w:right w:w="70" w:type="dxa"/>
            </w:tcMar>
            <w:vAlign w:val="center"/>
          </w:tcPr>
          <w:p w14:paraId="61F9CFE7">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600</w:t>
            </w:r>
          </w:p>
        </w:tc>
      </w:tr>
      <w:tr w14:paraId="75079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0D382397">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3000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4000</w:t>
            </w:r>
          </w:p>
        </w:tc>
        <w:tc>
          <w:tcPr>
            <w:tcW w:w="4444" w:type="dxa"/>
            <w:tcBorders>
              <w:tl2br w:val="nil"/>
              <w:tr2bl w:val="nil"/>
            </w:tcBorders>
            <w:shd w:val="clear" w:color="auto" w:fill="FFFFFF"/>
            <w:noWrap/>
            <w:tcMar>
              <w:left w:w="70" w:type="dxa"/>
              <w:right w:w="70" w:type="dxa"/>
            </w:tcMar>
            <w:vAlign w:val="center"/>
          </w:tcPr>
          <w:p w14:paraId="3E4BD9EC">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450</w:t>
            </w:r>
          </w:p>
        </w:tc>
      </w:tr>
      <w:tr w14:paraId="58314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530088F8">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2000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3000</w:t>
            </w:r>
          </w:p>
        </w:tc>
        <w:tc>
          <w:tcPr>
            <w:tcW w:w="4444" w:type="dxa"/>
            <w:tcBorders>
              <w:tl2br w:val="nil"/>
              <w:tr2bl w:val="nil"/>
            </w:tcBorders>
            <w:shd w:val="clear" w:color="auto" w:fill="FFFFFF"/>
            <w:noWrap/>
            <w:tcMar>
              <w:left w:w="70" w:type="dxa"/>
              <w:right w:w="70" w:type="dxa"/>
            </w:tcMar>
            <w:vAlign w:val="center"/>
          </w:tcPr>
          <w:p w14:paraId="6C87E00E">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color w:val="000000"/>
                <w:kern w:val="0"/>
                <w:sz w:val="21"/>
                <w:szCs w:val="21"/>
              </w:rPr>
            </w:pPr>
            <w:r>
              <w:rPr>
                <w:rStyle w:val="9"/>
                <w:rFonts w:hint="eastAsia" w:ascii="宋体" w:hAnsi="宋体" w:eastAsia="宋体" w:cs="宋体"/>
                <w:color w:val="000000"/>
                <w:kern w:val="0"/>
                <w:sz w:val="21"/>
                <w:szCs w:val="21"/>
              </w:rPr>
              <w:t>300</w:t>
            </w:r>
          </w:p>
        </w:tc>
      </w:tr>
      <w:tr w14:paraId="7C69D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FFFFFF"/>
            <w:noWrap/>
            <w:tcMar>
              <w:left w:w="70" w:type="dxa"/>
              <w:right w:w="70" w:type="dxa"/>
            </w:tcMar>
            <w:vAlign w:val="center"/>
          </w:tcPr>
          <w:p w14:paraId="15069A1F">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1000</w:t>
            </w:r>
            <w:r>
              <w:rPr>
                <w:rFonts w:hint="eastAsia" w:ascii="宋体" w:hAnsi="宋体" w:eastAsia="宋体" w:cs="宋体"/>
                <w:sz w:val="21"/>
                <w:szCs w:val="21"/>
                <w:lang w:eastAsia="zh-CN"/>
              </w:rPr>
              <w:t>≤</w:t>
            </w:r>
            <w:r>
              <w:rPr>
                <w:rFonts w:hint="eastAsia" w:ascii="宋体" w:hAnsi="宋体" w:eastAsia="宋体" w:cs="宋体"/>
                <w:sz w:val="21"/>
                <w:szCs w:val="21"/>
              </w:rPr>
              <w:t>投资额</w:t>
            </w:r>
            <w:r>
              <w:rPr>
                <w:rFonts w:hint="eastAsia" w:ascii="宋体" w:hAnsi="宋体" w:eastAsia="宋体" w:cs="宋体"/>
                <w:sz w:val="21"/>
                <w:szCs w:val="21"/>
                <w:lang w:eastAsia="zh-CN"/>
              </w:rPr>
              <w:t>＜</w:t>
            </w:r>
            <w:r>
              <w:rPr>
                <w:rFonts w:hint="eastAsia" w:ascii="宋体" w:hAnsi="宋体" w:eastAsia="宋体" w:cs="宋体"/>
                <w:sz w:val="21"/>
                <w:szCs w:val="21"/>
              </w:rPr>
              <w:t>2000</w:t>
            </w:r>
          </w:p>
        </w:tc>
        <w:tc>
          <w:tcPr>
            <w:tcW w:w="4444" w:type="dxa"/>
            <w:tcBorders>
              <w:tl2br w:val="nil"/>
              <w:tr2bl w:val="nil"/>
            </w:tcBorders>
            <w:shd w:val="clear" w:color="auto" w:fill="FFFFFF"/>
            <w:noWrap/>
            <w:tcMar>
              <w:left w:w="70" w:type="dxa"/>
              <w:right w:w="70" w:type="dxa"/>
            </w:tcMar>
            <w:vAlign w:val="center"/>
          </w:tcPr>
          <w:p w14:paraId="4BB4450B">
            <w:pPr>
              <w:pStyle w:val="3"/>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9"/>
                <w:rFonts w:hint="eastAsia" w:ascii="宋体" w:hAnsi="宋体" w:eastAsia="宋体" w:cs="宋体"/>
                <w:bCs/>
                <w:color w:val="000000"/>
                <w:kern w:val="36"/>
                <w:sz w:val="21"/>
                <w:szCs w:val="21"/>
              </w:rPr>
            </w:pPr>
            <w:r>
              <w:rPr>
                <w:rStyle w:val="9"/>
                <w:rFonts w:hint="eastAsia" w:ascii="宋体" w:hAnsi="宋体" w:eastAsia="宋体" w:cs="宋体"/>
                <w:color w:val="000000"/>
                <w:kern w:val="0"/>
                <w:sz w:val="21"/>
                <w:szCs w:val="21"/>
              </w:rPr>
              <w:t>150</w:t>
            </w:r>
          </w:p>
        </w:tc>
      </w:tr>
      <w:tr w14:paraId="3CFC3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auto"/>
            <w:noWrap/>
            <w:tcMar>
              <w:left w:w="70" w:type="dxa"/>
              <w:right w:w="70" w:type="dxa"/>
            </w:tcMar>
            <w:vAlign w:val="center"/>
          </w:tcPr>
          <w:p w14:paraId="72A09E73">
            <w:pPr>
              <w:keepNext w:val="0"/>
              <w:keepLines w:val="0"/>
              <w:pageBreakBefore w:val="0"/>
              <w:widowControl/>
              <w:suppressLineNumbers w:val="0"/>
              <w:kinsoku/>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500≤投资额＜1000</w:t>
            </w:r>
          </w:p>
        </w:tc>
        <w:tc>
          <w:tcPr>
            <w:tcW w:w="4444" w:type="dxa"/>
            <w:tcBorders>
              <w:tl2br w:val="nil"/>
              <w:tr2bl w:val="nil"/>
            </w:tcBorders>
            <w:shd w:val="clear" w:color="auto" w:fill="auto"/>
            <w:noWrap/>
            <w:tcMar>
              <w:left w:w="70" w:type="dxa"/>
              <w:right w:w="70" w:type="dxa"/>
            </w:tcMar>
            <w:vAlign w:val="center"/>
          </w:tcPr>
          <w:p w14:paraId="3C1396A8">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75</w:t>
            </w:r>
          </w:p>
        </w:tc>
      </w:tr>
      <w:tr w14:paraId="4CBC3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auto"/>
            <w:noWrap/>
            <w:tcMar>
              <w:left w:w="70" w:type="dxa"/>
              <w:right w:w="70" w:type="dxa"/>
            </w:tcMar>
            <w:vAlign w:val="center"/>
          </w:tcPr>
          <w:p w14:paraId="519CA648">
            <w:pPr>
              <w:keepNext w:val="0"/>
              <w:keepLines w:val="0"/>
              <w:pageBreakBefore w:val="0"/>
              <w:widowControl/>
              <w:suppressLineNumbers w:val="0"/>
              <w:kinsoku/>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300≤投资额＜500</w:t>
            </w:r>
          </w:p>
        </w:tc>
        <w:tc>
          <w:tcPr>
            <w:tcW w:w="4444" w:type="dxa"/>
            <w:tcBorders>
              <w:tl2br w:val="nil"/>
              <w:tr2bl w:val="nil"/>
            </w:tcBorders>
            <w:shd w:val="clear" w:color="auto" w:fill="auto"/>
            <w:noWrap/>
            <w:tcMar>
              <w:left w:w="70" w:type="dxa"/>
              <w:right w:w="70" w:type="dxa"/>
            </w:tcMar>
            <w:vAlign w:val="center"/>
          </w:tcPr>
          <w:p w14:paraId="2F9F6FD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45（仅适用再生资源回收方向）</w:t>
            </w:r>
          </w:p>
        </w:tc>
      </w:tr>
      <w:tr w14:paraId="5DA22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trHeight w:val="283" w:hRule="atLeast"/>
          <w:jc w:val="center"/>
        </w:trPr>
        <w:tc>
          <w:tcPr>
            <w:tcW w:w="4444" w:type="dxa"/>
            <w:tcBorders>
              <w:tl2br w:val="nil"/>
              <w:tr2bl w:val="nil"/>
            </w:tcBorders>
            <w:shd w:val="clear" w:color="auto" w:fill="auto"/>
            <w:noWrap/>
            <w:tcMar>
              <w:left w:w="70" w:type="dxa"/>
              <w:right w:w="70" w:type="dxa"/>
            </w:tcMar>
            <w:vAlign w:val="center"/>
          </w:tcPr>
          <w:p w14:paraId="0BF96F70">
            <w:pPr>
              <w:keepNext w:val="0"/>
              <w:keepLines w:val="0"/>
              <w:pageBreakBefore w:val="0"/>
              <w:widowControl/>
              <w:suppressLineNumbers w:val="0"/>
              <w:kinsoku/>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100≤投资额＜300</w:t>
            </w:r>
          </w:p>
        </w:tc>
        <w:tc>
          <w:tcPr>
            <w:tcW w:w="4444" w:type="dxa"/>
            <w:tcBorders>
              <w:tl2br w:val="nil"/>
              <w:tr2bl w:val="nil"/>
            </w:tcBorders>
            <w:shd w:val="clear" w:color="auto" w:fill="auto"/>
            <w:noWrap/>
            <w:tcMar>
              <w:left w:w="70" w:type="dxa"/>
              <w:right w:w="70" w:type="dxa"/>
            </w:tcMar>
            <w:vAlign w:val="center"/>
          </w:tcPr>
          <w:p w14:paraId="1A7327A3">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15（仅适用再生资源回收方向）</w:t>
            </w:r>
          </w:p>
        </w:tc>
      </w:tr>
    </w:tbl>
    <w:p w14:paraId="6C21D53E">
      <w:pPr>
        <w:keepNext w:val="0"/>
        <w:keepLines w:val="0"/>
        <w:pageBreakBefore w:val="0"/>
        <w:widowControl w:val="0"/>
        <w:kinsoku/>
        <w:wordWrap/>
        <w:overflowPunct/>
        <w:topLinePunct w:val="0"/>
        <w:autoSpaceDE/>
        <w:autoSpaceDN/>
        <w:bidi w:val="0"/>
        <w:adjustRightInd/>
        <w:snapToGrid/>
        <w:spacing w:before="157" w:beforeLines="50"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其中，申报“城乡再生资源回收体系”方向的项目，要求总投资额不低于100万元。其他方向的不低于500万元。</w:t>
      </w:r>
    </w:p>
    <w:p w14:paraId="491EE6AD">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单个项目最高补助金额不超过1500万元，单家单位合计项目补助金额最高不超过3000万元。</w:t>
      </w:r>
    </w:p>
    <w:p w14:paraId="623519A5">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投资额为在项目建设期间发生的符合支持范围及内容的资本性总支出，资本性总支出包括项目的基础设施建设（不含土地购买、租赁费用）、设备设施更新、信息化软硬件投资等可计入资产负债表中资产类科目的投资。</w:t>
      </w:r>
    </w:p>
    <w:p w14:paraId="181C0E3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根据项目建设周期，分为计划投资额和实际投资额。计划投资额在项目申报入库时经审核确认，实际投资额在项目首期评估和竣工验收时经审计确认。</w:t>
      </w:r>
    </w:p>
    <w:p w14:paraId="786E21E8">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p>
    <w:p w14:paraId="5C3D2525">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r>
        <w:rPr>
          <w:rFonts w:hint="eastAsia" w:ascii="黑体" w:hAnsi="黑体" w:eastAsia="黑体" w:cs="黑体"/>
          <w:b w:val="0"/>
          <w:bCs w:val="0"/>
          <w:spacing w:val="0"/>
          <w:kern w:val="21"/>
          <w:sz w:val="24"/>
          <w:szCs w:val="24"/>
          <w:lang w:val="en-US" w:eastAsia="zh-CN"/>
        </w:rPr>
        <w:t>第三章  申报条件和流程</w:t>
      </w:r>
    </w:p>
    <w:p w14:paraId="01C7BE23">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黑体" w:cs="宋体"/>
          <w:b w:val="0"/>
          <w:bCs w:val="0"/>
          <w:spacing w:val="0"/>
          <w:kern w:val="21"/>
          <w:sz w:val="24"/>
          <w:szCs w:val="24"/>
          <w:lang w:val="en-US" w:eastAsia="zh-CN"/>
        </w:rPr>
      </w:pPr>
    </w:p>
    <w:p w14:paraId="55440A79">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第八条</w:t>
      </w:r>
      <w:r>
        <w:rPr>
          <w:rFonts w:hint="eastAsia" w:ascii="宋体" w:hAnsi="宋体" w:eastAsia="宋体" w:cs="宋体"/>
          <w:b w:val="0"/>
          <w:bCs w:val="0"/>
          <w:spacing w:val="0"/>
          <w:kern w:val="21"/>
          <w:sz w:val="24"/>
          <w:szCs w:val="24"/>
          <w:lang w:val="en-US" w:eastAsia="zh-CN"/>
        </w:rPr>
        <w:t xml:space="preserve">  申报单位或申报项目应符合以下基本条件：</w:t>
      </w:r>
    </w:p>
    <w:p w14:paraId="40B0C6F3">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（一）申报单位原则上为现代商贸流通体系试点项目（即申报项目）的实际建设或运营主体。</w:t>
      </w:r>
    </w:p>
    <w:p w14:paraId="461065FC">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（二）申报单位为在深圳市（含深汕特别合作区，下同）实际从事经营活动的企业。</w:t>
      </w:r>
    </w:p>
    <w:p w14:paraId="5707BFC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（三）申报单位未被国家、省、市有关部门列入严重失信主体名单实施失信惩戒，未被明确限制申请财政性资金项目且在限制期内；未拖欠应缴还的财政性资金。</w:t>
      </w:r>
    </w:p>
    <w:p w14:paraId="40CA418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（四）申报单位应保证资金真实申报、合规使用和有效管理；应对申报材料的真实性、合法性、完整性负责，应如实提供本单位信用状况，承担违约责任并作出承诺，不得弄虚作假、套取、骗取财政资金。</w:t>
      </w:r>
    </w:p>
    <w:p w14:paraId="248BDFB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（五）申报单位不存在以同一项目或同一费用重复或多头申报的情形。已从其他渠道获得中央财政资金支持的项目，不得重复申请资金支持。</w:t>
      </w:r>
    </w:p>
    <w:p w14:paraId="2D7843B3">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（六）申报单位不存在将本属于同一性质内涵与建设内容的资助项目刻意分拆成两个项目的情形。</w:t>
      </w:r>
    </w:p>
    <w:p w14:paraId="50096D38">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（七）申报项目的建设地在深圳市，且未使用超长期特别国债资金。</w:t>
      </w:r>
    </w:p>
    <w:p w14:paraId="6F096071">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（八）申报单位须配合开展现代商贸流通体系试点工作，报送工作进展及相关数据。</w:t>
      </w:r>
    </w:p>
    <w:p w14:paraId="4707C0DE">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（九）申报项目如有土建内容的，应符合项目备案（核准）、环评、规划、土地</w:t>
      </w:r>
      <w:r>
        <w:rPr>
          <w:rFonts w:hint="eastAsia" w:ascii="宋体" w:hAnsi="宋体" w:eastAsia="宋体" w:cs="宋体"/>
          <w:b w:val="0"/>
          <w:bCs w:val="0"/>
          <w:spacing w:val="-62"/>
          <w:kern w:val="21"/>
          <w:sz w:val="24"/>
          <w:szCs w:val="24"/>
          <w:lang w:val="en-US" w:eastAsia="zh-CN"/>
        </w:rPr>
        <w:t>、</w:t>
      </w:r>
      <w:r>
        <w:rPr>
          <w:rFonts w:hint="eastAsia" w:ascii="宋体" w:hAnsi="宋体" w:eastAsia="宋体" w:cs="宋体"/>
          <w:b w:val="0"/>
          <w:bCs w:val="0"/>
          <w:spacing w:val="0"/>
          <w:kern w:val="21"/>
          <w:sz w:val="24"/>
          <w:szCs w:val="24"/>
          <w:lang w:val="en-US" w:eastAsia="zh-CN"/>
        </w:rPr>
        <w:t>工程及建设等相关建设要求。项目涉及的土地、建设场所为租赁的，租赁期应覆盖项目建设周期，并提供房屋租赁合同或租赁场所真实有效的其他佐证材料。</w:t>
      </w:r>
    </w:p>
    <w:p w14:paraId="264C7E52">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（十）申报项目开工时间原则上不早于2023年1月1日，且能在2026年12月31日前建成。</w:t>
      </w:r>
    </w:p>
    <w:p w14:paraId="0F6B25F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（十一）申报项目总投资额中自筹资金需达到项目总投资额的60%以上。自筹资金出资可通过资金银行存款、贷款资金的银行贷款承诺书、贷款协议、贷款合同等予以说明。</w:t>
      </w:r>
    </w:p>
    <w:p w14:paraId="56AFD88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（十二）申报项目管理机制健全，绩效目标清晰、合理、可考核（含首期、终期绩效目标），预期成效显著。</w:t>
      </w:r>
    </w:p>
    <w:p w14:paraId="04E80D48">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第九条</w:t>
      </w:r>
      <w:r>
        <w:rPr>
          <w:rFonts w:hint="eastAsia" w:ascii="宋体" w:hAnsi="宋体" w:eastAsia="宋体" w:cs="宋体"/>
          <w:b w:val="0"/>
          <w:bCs w:val="0"/>
          <w:spacing w:val="0"/>
          <w:kern w:val="21"/>
          <w:sz w:val="24"/>
          <w:szCs w:val="24"/>
          <w:lang w:val="en-US" w:eastAsia="zh-CN"/>
        </w:rPr>
        <w:t xml:space="preserve">  根据申报方向还需符合以下专项条件：</w:t>
      </w:r>
    </w:p>
    <w:p w14:paraId="20EA18FE">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申报流通骨干企业方向的，申报单位在“国家统计云联网直报系统”中按照《国民经济行业分类》（GB/T</w:t>
      </w:r>
      <w:r>
        <w:rPr>
          <w:rFonts w:hint="eastAsia" w:ascii="宋体" w:hAnsi="宋体" w:eastAsia="宋体" w:cs="宋体"/>
          <w:b w:val="0"/>
          <w:bCs w:val="0"/>
          <w:spacing w:val="-52"/>
          <w:kern w:val="21"/>
          <w:sz w:val="24"/>
          <w:szCs w:val="24"/>
          <w:lang w:val="en-US" w:eastAsia="zh-CN"/>
        </w:rPr>
        <w:t xml:space="preserve"> </w:t>
      </w:r>
      <w:r>
        <w:rPr>
          <w:rFonts w:hint="eastAsia" w:ascii="宋体" w:hAnsi="宋体" w:eastAsia="宋体" w:cs="宋体"/>
          <w:b w:val="0"/>
          <w:bCs w:val="0"/>
          <w:spacing w:val="0"/>
          <w:kern w:val="21"/>
          <w:sz w:val="24"/>
          <w:szCs w:val="24"/>
          <w:lang w:val="en-US" w:eastAsia="zh-CN"/>
        </w:rPr>
        <w:t>4754-2017）应属于“批发业（F51）、零售业（F52）、供应链管理服务（L7224）”。</w:t>
      </w:r>
    </w:p>
    <w:p w14:paraId="74527F5E">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第十条</w:t>
      </w:r>
      <w:r>
        <w:rPr>
          <w:rFonts w:hint="eastAsia" w:ascii="宋体" w:hAnsi="宋体" w:eastAsia="宋体" w:cs="宋体"/>
          <w:b w:val="0"/>
          <w:bCs w:val="0"/>
          <w:spacing w:val="0"/>
          <w:kern w:val="21"/>
          <w:sz w:val="24"/>
          <w:szCs w:val="24"/>
          <w:lang w:val="en-US" w:eastAsia="zh-CN"/>
        </w:rPr>
        <w:t xml:space="preserve">  申报项目实际建设主体为申报单位的全资或控股子公司，可进行联合申报。若采用联合申报的方式，关联交易不纳入支持费用范围。</w:t>
      </w:r>
    </w:p>
    <w:p w14:paraId="0B5B1569">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第十一条</w:t>
      </w:r>
      <w:r>
        <w:rPr>
          <w:rFonts w:hint="eastAsia" w:ascii="宋体" w:hAnsi="宋体" w:eastAsia="宋体" w:cs="宋体"/>
          <w:b w:val="0"/>
          <w:bCs w:val="0"/>
          <w:spacing w:val="0"/>
          <w:kern w:val="21"/>
          <w:sz w:val="24"/>
          <w:szCs w:val="24"/>
          <w:lang w:val="en-US" w:eastAsia="zh-CN"/>
        </w:rPr>
        <w:t xml:space="preserve">  市商务局根据商务部有关专项资金的工作通知、本办法以及实际情况，发布申报指南（通知）。</w:t>
      </w:r>
    </w:p>
    <w:p w14:paraId="42DE880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第十二条</w:t>
      </w:r>
      <w:r>
        <w:rPr>
          <w:rFonts w:hint="eastAsia" w:ascii="宋体" w:hAnsi="宋体" w:eastAsia="宋体" w:cs="宋体"/>
          <w:b w:val="0"/>
          <w:bCs w:val="0"/>
          <w:spacing w:val="0"/>
          <w:kern w:val="21"/>
          <w:sz w:val="24"/>
          <w:szCs w:val="24"/>
          <w:lang w:val="en-US" w:eastAsia="zh-CN"/>
        </w:rPr>
        <w:t xml:space="preserve">  按照属地原则，由申报单位在规定时间内向区级商务部门提交上报申报通知要求的材料。区级商务部门对申报材料审核后，确定入库项目，同时按规定向社会公示，公示时间不少于7个工作日；如有异议，经核实后按规定处理；公示期满无异议或异议不成立的，列入项目库。区级商务部门向项目申报单位下达项目建设任务书，并将项目入库清单报市商务局。</w:t>
      </w:r>
    </w:p>
    <w:p w14:paraId="4B76353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第十三条</w:t>
      </w:r>
      <w:r>
        <w:rPr>
          <w:rFonts w:hint="eastAsia" w:ascii="宋体" w:hAnsi="宋体" w:eastAsia="宋体" w:cs="宋体"/>
          <w:b w:val="0"/>
          <w:bCs w:val="0"/>
          <w:spacing w:val="0"/>
          <w:kern w:val="21"/>
          <w:sz w:val="24"/>
          <w:szCs w:val="24"/>
          <w:lang w:val="en-US" w:eastAsia="zh-CN"/>
        </w:rPr>
        <w:t xml:space="preserve">  补助资金实行“首期预拨＋终期清算”模式，即首期评估通过，则按照申报项目实际发生的、符合支持范围的投资额对应分档标准的资助资金进行第一次拨付，终期评估通过后拨付剩余的补助资金。</w:t>
      </w:r>
    </w:p>
    <w:p w14:paraId="20F20A8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市商务局统筹全市入库项目确定资金补助方案，根据专项资金下达情况和项目投资建设进度，提出资金分期下达建议，会同市财政局按程序下达项目补助资金。</w:t>
      </w:r>
    </w:p>
    <w:p w14:paraId="79C58C22">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p>
    <w:p w14:paraId="2B0F7C74">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r>
        <w:rPr>
          <w:rFonts w:hint="eastAsia" w:ascii="黑体" w:hAnsi="黑体" w:eastAsia="黑体" w:cs="黑体"/>
          <w:b w:val="0"/>
          <w:bCs w:val="0"/>
          <w:spacing w:val="0"/>
          <w:kern w:val="21"/>
          <w:sz w:val="24"/>
          <w:szCs w:val="24"/>
          <w:lang w:val="en-US" w:eastAsia="zh-CN"/>
        </w:rPr>
        <w:t>第四章  事中监管和绩效管理</w:t>
      </w:r>
    </w:p>
    <w:p w14:paraId="24DA675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黑体" w:cs="宋体"/>
          <w:b w:val="0"/>
          <w:bCs w:val="0"/>
          <w:spacing w:val="0"/>
          <w:kern w:val="21"/>
          <w:sz w:val="24"/>
          <w:szCs w:val="24"/>
          <w:lang w:val="en-US" w:eastAsia="zh-CN"/>
        </w:rPr>
      </w:pPr>
    </w:p>
    <w:p w14:paraId="25DB2D8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第十四条</w:t>
      </w:r>
      <w:r>
        <w:rPr>
          <w:rFonts w:hint="eastAsia" w:ascii="宋体" w:hAnsi="宋体" w:eastAsia="宋体" w:cs="宋体"/>
          <w:b w:val="0"/>
          <w:bCs w:val="0"/>
          <w:spacing w:val="0"/>
          <w:kern w:val="21"/>
          <w:sz w:val="24"/>
          <w:szCs w:val="24"/>
          <w:lang w:val="en-US" w:eastAsia="zh-CN"/>
        </w:rPr>
        <w:t xml:space="preserve">  区级商务部门要建立日常监督机制，加强项目立项、建设、验收等全过程监督，形成闭环管理；要引入第三方专业机构参与决策监督，加强资金和项目审核，及时防范和化解风险。</w:t>
      </w:r>
    </w:p>
    <w:p w14:paraId="5C6EA9D7">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区级商务部门要定期对辖区内入库的项目进行实地督查，督促企业按照项目建设任务书实施项目。对未按要求完成建设内容和进度的单位，由区级商务部门督促整改。</w:t>
      </w:r>
    </w:p>
    <w:p w14:paraId="00EA3E63">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市商务局可委托第三方专业机构协助对实施项目进行不定期抽查，开展评估等。</w:t>
      </w:r>
    </w:p>
    <w:p w14:paraId="25684C9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第十五条</w:t>
      </w:r>
      <w:r>
        <w:rPr>
          <w:rFonts w:hint="eastAsia" w:ascii="宋体" w:hAnsi="宋体" w:eastAsia="宋体" w:cs="宋体"/>
          <w:b w:val="0"/>
          <w:bCs w:val="0"/>
          <w:spacing w:val="0"/>
          <w:kern w:val="21"/>
          <w:sz w:val="24"/>
          <w:szCs w:val="24"/>
          <w:lang w:val="en-US" w:eastAsia="zh-CN"/>
        </w:rPr>
        <w:t xml:space="preserve">  有下列情形之一，应终止项目实施，如已获得首期资助的项目申报单位应主动退回已拨付的资助资金：</w:t>
      </w:r>
    </w:p>
    <w:p w14:paraId="5261027D">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（一）存在违法、重大欺骗、重大事实隐瞒等行为的；</w:t>
      </w:r>
    </w:p>
    <w:p w14:paraId="6671B46C">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（二）3个月仍未按要求整改并达到完成进度的；</w:t>
      </w:r>
    </w:p>
    <w:p w14:paraId="7194CB9F">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（三）申报单位主动申请退出的。</w:t>
      </w:r>
    </w:p>
    <w:p w14:paraId="505B4CFB">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第十六条</w:t>
      </w:r>
      <w:r>
        <w:rPr>
          <w:rFonts w:hint="eastAsia" w:ascii="宋体" w:hAnsi="宋体" w:eastAsia="宋体" w:cs="宋体"/>
          <w:b w:val="0"/>
          <w:bCs w:val="0"/>
          <w:spacing w:val="0"/>
          <w:kern w:val="21"/>
          <w:sz w:val="24"/>
          <w:szCs w:val="24"/>
          <w:lang w:val="en-US" w:eastAsia="zh-CN"/>
        </w:rPr>
        <w:t xml:space="preserve">  申报单位应当按要求配合市、区两级商务部门和其他相关部门的监督检查，按要求做好项目资金管理、绩效评估（验收）等工作。</w:t>
      </w:r>
    </w:p>
    <w:p w14:paraId="19C4B79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（一）日常监管要求如下：</w:t>
      </w:r>
    </w:p>
    <w:p w14:paraId="24CDD0AE">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1．市、区两级商务部门对申报项目开展不定期抽查，申报单位应配合报送项目进展情况、存在问题及解决措施。</w:t>
      </w:r>
    </w:p>
    <w:p w14:paraId="11F14481">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2．申报单位按要求配合填报商务领域各类平台监测数据，及时、准确、完整报送和反映商贸流通相关信息。</w:t>
      </w:r>
    </w:p>
    <w:p w14:paraId="5A322E9F">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3．申报单位应按照计划投资额、建设周期、建设要求完成项目。项目实施期间，项目总投资以及实施方案原则上不得调整，确需调整的，按程序向市、区两级商务部门申报。</w:t>
      </w:r>
    </w:p>
    <w:p w14:paraId="47A9118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4．项目在执行过程中因故出现需要变更或撤项等情形的，项目单位应及时向市、区两级商务部门提出申请。申报项目出现撤项、烂尾等情形的，申报单位应主动退回已拨付的资助资金。</w:t>
      </w:r>
    </w:p>
    <w:p w14:paraId="1767FD7C">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（二）首期评估要求如下：</w:t>
      </w:r>
    </w:p>
    <w:p w14:paraId="5C403893">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1．申报项目实现首期绩效目标（即2024年绩效目标）。</w:t>
      </w:r>
    </w:p>
    <w:p w14:paraId="32B7D32F">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2．项目投资进度超30%。</w:t>
      </w:r>
    </w:p>
    <w:p w14:paraId="4900348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3．达到本项第1目第2目首期评估条件的项目可向区级商务部门申请开展首期评估，申报单位按要求提交项目评估材料，区级商务部门再分批组织开展首期评估。</w:t>
      </w:r>
    </w:p>
    <w:p w14:paraId="488321E9">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4．首期评估未通过的，取消申报项目受资助资格；首期评估通过，则按照申报项目实际发生的、符合支持范围的投资额对应分档标准的资助资金进行第一次拨付。</w:t>
      </w:r>
    </w:p>
    <w:p w14:paraId="647D381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（三）终期（验收）评估要求如下：</w:t>
      </w:r>
    </w:p>
    <w:p w14:paraId="588128A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1．申报项目实现终期绩效目标。</w:t>
      </w:r>
    </w:p>
    <w:p w14:paraId="424F221C">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2．项目建设完成并投入运营。</w:t>
      </w:r>
    </w:p>
    <w:p w14:paraId="449A8E35">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3．达到本项第1目第2目终期（验收）评估条件的项目可向区级商务部门申请开展终期（验收）评估，申报单位按要求提交项目评估材料，区级商务部门于2026年分批组织开展终期（验收）评估。</w:t>
      </w:r>
    </w:p>
    <w:p w14:paraId="4B31051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4．未达到本项第1目第2目终期（验收）评估条件或终期（验收）评估未通过的，申报单位应进行整改，并可申请延期进行终期（验收）评估，延期时限不超过3个月。延期终期（验收）评估及专项审计核准未通过的，取消剩余资助资金的拨付，同时申报单位应退回已拨付的资助资金。</w:t>
      </w:r>
    </w:p>
    <w:p w14:paraId="5F2E33D8">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5．终期评估通过后，市、区两级商务部门根据实际投资额核定最终分档标准清算补助资金。其中：</w:t>
      </w:r>
    </w:p>
    <w:p w14:paraId="3AC7FB85">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（1）对实际投资额小于计划投资额70%的，取消补助并收回已拨付的补助资金；</w:t>
      </w:r>
    </w:p>
    <w:p w14:paraId="2FCB6801">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（2）对实际投资额大于或等于计划投资额的70%但小于100%的，按审计确定的实际投资额重新确档核定补助资金；</w:t>
      </w:r>
    </w:p>
    <w:p w14:paraId="76D52C6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（3）对实际投资额超过计划投资额的，按计划投资额计算确定补助资金；</w:t>
      </w:r>
    </w:p>
    <w:p w14:paraId="31B33DC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（4）若符合条件的项目2024年建设完成，则按照终期（验收）评估结果一次性拨付资助资金；</w:t>
      </w:r>
    </w:p>
    <w:p w14:paraId="6A4B1F41">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（5）最终补助资金根据专项资金规模按比例调整。</w:t>
      </w:r>
    </w:p>
    <w:p w14:paraId="149284DE">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第十七条</w:t>
      </w:r>
      <w:r>
        <w:rPr>
          <w:rFonts w:hint="eastAsia" w:ascii="宋体" w:hAnsi="宋体" w:eastAsia="宋体" w:cs="宋体"/>
          <w:b w:val="0"/>
          <w:bCs w:val="0"/>
          <w:spacing w:val="0"/>
          <w:kern w:val="21"/>
          <w:sz w:val="24"/>
          <w:szCs w:val="24"/>
          <w:lang w:val="en-US" w:eastAsia="zh-CN"/>
        </w:rPr>
        <w:t xml:space="preserve">  市商务局、市财政局对专项资金实施全过程预算绩效管理，强化绩效目标管理，做好绩效运行监控和绩效评价，并加强绩效评价结果运用。</w:t>
      </w:r>
    </w:p>
    <w:p w14:paraId="62498F16">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第十八条</w:t>
      </w:r>
      <w:r>
        <w:rPr>
          <w:rFonts w:hint="eastAsia" w:ascii="宋体" w:hAnsi="宋体" w:eastAsia="宋体" w:cs="宋体"/>
          <w:b w:val="0"/>
          <w:bCs w:val="0"/>
          <w:spacing w:val="0"/>
          <w:kern w:val="21"/>
          <w:sz w:val="24"/>
          <w:szCs w:val="24"/>
          <w:lang w:val="en-US" w:eastAsia="zh-CN"/>
        </w:rPr>
        <w:t xml:space="preserve">  获得专项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有关补助资金不得用于支付罚款、赞助、偿还债务以及财政补助单位人员经费和工作经费等，不得用于土地开发、征地拆迁、建设政府性楼堂馆所等明令禁止的支出项目。</w:t>
      </w:r>
    </w:p>
    <w:p w14:paraId="6DD7E3A4">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第十九条</w:t>
      </w:r>
      <w:r>
        <w:rPr>
          <w:rFonts w:hint="eastAsia" w:ascii="宋体" w:hAnsi="宋体" w:eastAsia="宋体" w:cs="宋体"/>
          <w:b w:val="0"/>
          <w:bCs w:val="0"/>
          <w:spacing w:val="0"/>
          <w:kern w:val="21"/>
          <w:sz w:val="24"/>
          <w:szCs w:val="24"/>
          <w:lang w:val="en-US" w:eastAsia="zh-CN"/>
        </w:rPr>
        <w:t xml:space="preserve">  任何单位和个人不得以任何形式、任何理由违规使用专项资金，对截留、挤占、挪用、骗取专项资金等违法行为，一经查实，将收回已安排的专项资金，并按照《财政违法行为处罚处分条例》（国务院令第427号）等有关规定追究责任。</w:t>
      </w:r>
    </w:p>
    <w:p w14:paraId="2C37E1E5">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p>
    <w:p w14:paraId="3B900A3F">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r>
        <w:rPr>
          <w:rFonts w:hint="eastAsia" w:ascii="黑体" w:hAnsi="黑体" w:eastAsia="黑体" w:cs="黑体"/>
          <w:b w:val="0"/>
          <w:bCs w:val="0"/>
          <w:spacing w:val="0"/>
          <w:kern w:val="21"/>
          <w:sz w:val="24"/>
          <w:szCs w:val="24"/>
          <w:lang w:val="en-US" w:eastAsia="zh-CN"/>
        </w:rPr>
        <w:t>第五章  附    则</w:t>
      </w:r>
    </w:p>
    <w:p w14:paraId="795CA8D7">
      <w:pPr>
        <w:keepNext w:val="0"/>
        <w:keepLines w:val="0"/>
        <w:pageBreakBefore w:val="0"/>
        <w:widowControl w:val="0"/>
        <w:kinsoku/>
        <w:wordWrap/>
        <w:overflowPunct/>
        <w:topLinePunct w:val="0"/>
        <w:autoSpaceDE/>
        <w:autoSpaceDN/>
        <w:bidi w:val="0"/>
        <w:adjustRightInd/>
        <w:snapToGrid/>
        <w:spacing w:line="396" w:lineRule="atLeast"/>
        <w:ind w:firstLine="0" w:firstLineChars="0"/>
        <w:jc w:val="center"/>
        <w:textAlignment w:val="auto"/>
        <w:rPr>
          <w:rFonts w:hint="eastAsia" w:ascii="黑体" w:hAnsi="黑体" w:eastAsia="黑体" w:cs="黑体"/>
          <w:b w:val="0"/>
          <w:bCs w:val="0"/>
          <w:spacing w:val="0"/>
          <w:kern w:val="21"/>
          <w:sz w:val="24"/>
          <w:szCs w:val="24"/>
          <w:lang w:val="en-US" w:eastAsia="zh-CN"/>
        </w:rPr>
      </w:pPr>
    </w:p>
    <w:p w14:paraId="7977B400">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b w:val="0"/>
          <w:bCs w:val="0"/>
          <w:spacing w:val="0"/>
          <w:kern w:val="21"/>
          <w:sz w:val="24"/>
          <w:szCs w:val="24"/>
          <w:lang w:val="en-US" w:eastAsia="zh-CN"/>
        </w:rPr>
      </w:pPr>
      <w:r>
        <w:rPr>
          <w:rFonts w:hint="eastAsia" w:ascii="宋体" w:hAnsi="宋体" w:eastAsia="黑体" w:cs="宋体"/>
          <w:b w:val="0"/>
          <w:bCs w:val="0"/>
          <w:spacing w:val="0"/>
          <w:kern w:val="21"/>
          <w:sz w:val="24"/>
          <w:szCs w:val="24"/>
          <w:lang w:val="en-US" w:eastAsia="zh-CN"/>
        </w:rPr>
        <w:t>第二十条</w:t>
      </w:r>
      <w:r>
        <w:rPr>
          <w:rFonts w:hint="eastAsia" w:ascii="宋体" w:hAnsi="宋体" w:eastAsia="宋体" w:cs="宋体"/>
          <w:b w:val="0"/>
          <w:bCs w:val="0"/>
          <w:spacing w:val="0"/>
          <w:kern w:val="21"/>
          <w:sz w:val="24"/>
          <w:szCs w:val="24"/>
          <w:lang w:val="en-US" w:eastAsia="zh-CN"/>
        </w:rPr>
        <w:t xml:space="preserve">  本办法由市商务局负责解释。</w:t>
      </w:r>
    </w:p>
    <w:p w14:paraId="7E3CF59A">
      <w:pPr>
        <w:keepNext w:val="0"/>
        <w:keepLines w:val="0"/>
        <w:pageBreakBefore w:val="0"/>
        <w:widowControl w:val="0"/>
        <w:kinsoku/>
        <w:wordWrap/>
        <w:overflowPunct/>
        <w:topLinePunct w:val="0"/>
        <w:autoSpaceDE/>
        <w:autoSpaceDN/>
        <w:bidi w:val="0"/>
        <w:adjustRightInd/>
        <w:snapToGrid/>
        <w:spacing w:line="396"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黑体" w:cs="宋体"/>
          <w:b w:val="0"/>
          <w:bCs w:val="0"/>
          <w:spacing w:val="0"/>
          <w:kern w:val="21"/>
          <w:sz w:val="24"/>
          <w:szCs w:val="24"/>
          <w:lang w:val="en-US" w:eastAsia="zh-CN"/>
        </w:rPr>
        <w:t>第二十一条</w:t>
      </w:r>
      <w:r>
        <w:rPr>
          <w:rFonts w:hint="eastAsia" w:ascii="宋体" w:hAnsi="宋体" w:eastAsia="宋体" w:cs="宋体"/>
          <w:b w:val="0"/>
          <w:bCs w:val="0"/>
          <w:spacing w:val="0"/>
          <w:kern w:val="21"/>
          <w:sz w:val="24"/>
          <w:szCs w:val="24"/>
          <w:lang w:val="en-US" w:eastAsia="zh-CN"/>
        </w:rPr>
        <w:t xml:space="preserve">  本办法自印发之日起施行，有效期3年。本办法实施过程中，国家、省、市如有相关政策调整，按新政策要求执行。</w:t>
      </w:r>
    </w:p>
    <w:p w14:paraId="7C34E02F">
      <w:bookmarkStart w:id="0" w:name="_GoBack"/>
      <w:bookmarkEnd w:id="0"/>
    </w:p>
    <w:sectPr>
      <w:footerReference r:id="rId5" w:type="first"/>
      <w:headerReference r:id="rId3" w:type="default"/>
      <w:footerReference r:id="rId4" w:type="default"/>
      <w:pgSz w:w="11906" w:h="16838"/>
      <w:pgMar w:top="2268" w:right="1417" w:bottom="2268" w:left="1587" w:header="1417" w:footer="1417" w:gutter="0"/>
      <w:pgBorders>
        <w:top w:val="none" w:sz="0" w:space="0"/>
        <w:left w:val="none" w:sz="0" w:space="0"/>
        <w:bottom w:val="none" w:sz="0" w:space="0"/>
        <w:right w:val="none" w:sz="0" w:space="0"/>
      </w:pgBorders>
      <w:pgNumType w:fmt="decimal"/>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F42D">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7F174">
                          <w:pPr>
                            <w:pStyle w:val="5"/>
                            <w:rPr>
                              <w:rStyle w:val="10"/>
                              <w:rFonts w:ascii="Times New Roman" w:hAnsi="Times New Roman"/>
                            </w:rPr>
                          </w:pPr>
                          <w:r>
                            <w:rPr>
                              <w:rStyle w:val="10"/>
                              <w:rFonts w:ascii="Times New Roman" w:hAnsi="Times New Roman"/>
                            </w:rPr>
                            <w:fldChar w:fldCharType="begin"/>
                          </w:r>
                          <w:r>
                            <w:rPr>
                              <w:rStyle w:val="10"/>
                              <w:rFonts w:ascii="Times New Roman" w:hAnsi="Times New Roman"/>
                            </w:rPr>
                            <w:instrText xml:space="preserve">PAGE  </w:instrText>
                          </w:r>
                          <w:r>
                            <w:rPr>
                              <w:rStyle w:val="10"/>
                              <w:rFonts w:ascii="Times New Roman" w:hAnsi="Times New Roman"/>
                            </w:rPr>
                            <w:fldChar w:fldCharType="separate"/>
                          </w:r>
                          <w:r>
                            <w:rPr>
                              <w:rStyle w:val="10"/>
                              <w:rFonts w:ascii="Times New Roman" w:hAnsi="Times New Roman"/>
                            </w:rPr>
                            <w:t>1</w:t>
                          </w:r>
                          <w:r>
                            <w:rPr>
                              <w:rStyle w:val="10"/>
                              <w:rFonts w:ascii="Times New Roman" w:hAnsi="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537F174">
                    <w:pPr>
                      <w:pStyle w:val="5"/>
                      <w:rPr>
                        <w:rStyle w:val="10"/>
                        <w:rFonts w:ascii="Times New Roman" w:hAnsi="Times New Roman"/>
                      </w:rPr>
                    </w:pPr>
                    <w:r>
                      <w:rPr>
                        <w:rStyle w:val="10"/>
                        <w:rFonts w:ascii="Times New Roman" w:hAnsi="Times New Roman"/>
                      </w:rPr>
                      <w:fldChar w:fldCharType="begin"/>
                    </w:r>
                    <w:r>
                      <w:rPr>
                        <w:rStyle w:val="10"/>
                        <w:rFonts w:ascii="Times New Roman" w:hAnsi="Times New Roman"/>
                      </w:rPr>
                      <w:instrText xml:space="preserve">PAGE  </w:instrText>
                    </w:r>
                    <w:r>
                      <w:rPr>
                        <w:rStyle w:val="10"/>
                        <w:rFonts w:ascii="Times New Roman" w:hAnsi="Times New Roman"/>
                      </w:rPr>
                      <w:fldChar w:fldCharType="separate"/>
                    </w:r>
                    <w:r>
                      <w:rPr>
                        <w:rStyle w:val="10"/>
                        <w:rFonts w:ascii="Times New Roman" w:hAnsi="Times New Roman"/>
                      </w:rPr>
                      <w:t>1</w:t>
                    </w:r>
                    <w:r>
                      <w:rPr>
                        <w:rStyle w:val="10"/>
                        <w:rFonts w:ascii="Times New Roman" w:hAns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B28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4CF4EE">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B4CF4EE">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706C">
    <w:pPr>
      <w:pStyle w:val="6"/>
      <w:jc w:val="distribute"/>
    </w:pPr>
    <w:r>
      <w:rPr>
        <w:rFonts w:hint="eastAsia" w:ascii="宋体" w:hAnsi="宋体"/>
      </w:rPr>
      <w:t xml:space="preserve">深圳市人民政府公报 </w:t>
    </w:r>
    <w:r>
      <w:rPr>
        <w:rFonts w:hint="eastAsia" w:ascii="宋体" w:hAnsi="宋体"/>
        <w:lang w:val="en-US" w:eastAsia="zh-CN"/>
      </w:rPr>
      <w:t xml:space="preserve">                                                           </w:t>
    </w:r>
    <w:r>
      <w:rPr>
        <w:rFonts w:hint="eastAsia" w:ascii="宋体" w:hAnsi="宋体"/>
      </w:rPr>
      <w:t xml:space="preserve">  202</w:t>
    </w:r>
    <w:r>
      <w:rPr>
        <w:rFonts w:hint="eastAsia" w:ascii="宋体" w:hAnsi="宋体"/>
        <w:lang w:val="en-US" w:eastAsia="zh-CN"/>
      </w:rPr>
      <w:t>6</w:t>
    </w:r>
    <w:r>
      <w:rPr>
        <w:rFonts w:hint="eastAsia" w:ascii="宋体" w:hAnsi="宋体"/>
      </w:rPr>
      <w:t>年第</w:t>
    </w:r>
    <w:r>
      <w:rPr>
        <w:rFonts w:hint="eastAsia" w:ascii="宋体" w:hAnsi="宋体"/>
        <w:lang w:val="en-US" w:eastAsia="zh-CN"/>
      </w:rPr>
      <w:t>9</w:t>
    </w:r>
    <w:r>
      <w:rPr>
        <w:rFonts w:hint="eastAsia" w:ascii="宋体" w:hAnsi="宋体"/>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97F76"/>
    <w:rsid w:val="6059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3"/>
    <w:next w:val="4"/>
    <w:qFormat/>
    <w:uiPriority w:val="0"/>
    <w:pPr>
      <w:spacing w:after="120"/>
    </w:pPr>
    <w:rPr>
      <w:rFonts w:ascii="Times New Roman" w:hAnsi="Times New Roman"/>
      <w:szCs w:val="20"/>
    </w:r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Title"/>
    <w:basedOn w:val="1"/>
    <w:next w:val="1"/>
    <w:qFormat/>
    <w:uiPriority w:val="0"/>
    <w:pPr>
      <w:spacing w:line="580" w:lineRule="exact"/>
      <w:jc w:val="center"/>
      <w:outlineLvl w:val="0"/>
    </w:pPr>
    <w:rPr>
      <w:rFonts w:ascii="Arial" w:hAnsi="Arial" w:eastAsia="隶书" w:cs="Arial"/>
      <w:b/>
      <w:bCs/>
      <w:sz w:val="44"/>
      <w:szCs w:val="32"/>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Times New Roman" w:hAnsi="Times New Roman"/>
      <w:kern w:val="0"/>
      <w:sz w:val="24"/>
      <w:szCs w:val="24"/>
    </w:rPr>
  </w:style>
  <w:style w:type="character" w:styleId="10">
    <w:name w:val="page number"/>
    <w:basedOn w:val="9"/>
    <w:qFormat/>
    <w:uiPriority w:val="0"/>
  </w:style>
  <w:style w:type="paragraph" w:customStyle="1" w:styleId="11">
    <w:name w:val="Char Char1 Char Char Char Char Char Char"/>
    <w:basedOn w:val="1"/>
    <w:qFormat/>
    <w:uiPriority w:val="0"/>
    <w:pPr>
      <w:widowControl/>
      <w:adjustRightInd w:val="0"/>
      <w:snapToGrid w:val="0"/>
      <w:spacing w:beforeLines="25" w:line="240" w:lineRule="exact"/>
      <w:ind w:firstLine="560" w:firstLineChars="192"/>
      <w:jc w:val="left"/>
    </w:pPr>
    <w:rPr>
      <w:rFonts w:ascii="宋体" w:hAnsi="宋体" w:eastAsia="仿宋_GB2312"/>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2026-03-26T09:43:00Z</dcterms:created>
  <dc:creator>朴灿灿1405689278</dc:creator>
  <cp:lastModifiedBy>朴灿灿1405689278</cp:lastModifiedBy>
  <dcterms:modified xsi:type="dcterms:W3CDTF">2026-03-26T09:43:58Z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D0712A81C4794327AFD54F08AA157D9F_11</vt:lpwstr>
  </property>
  <property fmtid="{D5CDD505-2E9C-101B-9397-08002B2CF9AE}" pid="4" name="KSOTemplateDocerSaveRecord">
    <vt:lpwstr>eyJoZGlkIjoiNWY2NjY3ZTM1ODM5YTdiNGYyN2Y5YjdmOGEzYzBkZTIiLCJ1c2VySWQiOiIxODgwMTgwNiJ9</vt:lpwstr>
  </property>
</Properties>
</file>