
<file path=[Content_Types].xml><?xml version="1.0" encoding="utf-8"?>
<Types xmlns="http://schemas.openxmlformats.org/package/2006/content-types">
  <Default Extension="emf" ContentType="image/x-e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960"/>
        <w:jc w:val="center"/>
        <w:rPr>
          <w:sz w:val="48"/>
          <w:szCs w:val="36"/>
        </w:rPr>
      </w:pPr>
    </w:p>
    <w:p>
      <w:pPr>
        <w:ind w:firstLine="960"/>
        <w:jc w:val="center"/>
        <w:rPr>
          <w:sz w:val="48"/>
          <w:szCs w:val="36"/>
        </w:rPr>
      </w:pPr>
    </w:p>
    <w:p>
      <w:pPr>
        <w:ind w:firstLine="960"/>
        <w:jc w:val="center"/>
        <w:rPr>
          <w:sz w:val="48"/>
          <w:szCs w:val="36"/>
        </w:rPr>
      </w:pPr>
    </w:p>
    <w:p>
      <w:pPr>
        <w:pStyle w:val="13"/>
        <w:ind w:firstLine="0" w:firstLineChars="0"/>
        <w:jc w:val="center"/>
        <w:rPr>
          <w:rFonts w:ascii="方正小标宋_GBK" w:hAnsi="方正小标宋_GBK" w:eastAsia="方正小标宋_GBK" w:cs="方正小标宋_GBK"/>
          <w:b/>
          <w:bCs/>
          <w:sz w:val="72"/>
          <w:szCs w:val="72"/>
        </w:rPr>
      </w:pPr>
      <w:r>
        <w:rPr>
          <w:rFonts w:hint="eastAsia" w:ascii="方正小标宋_GBK" w:hAnsi="方正小标宋_GBK" w:eastAsia="方正小标宋_GBK" w:cs="方正小标宋_GBK"/>
          <w:b/>
          <w:bCs/>
          <w:sz w:val="72"/>
          <w:szCs w:val="72"/>
        </w:rPr>
        <w:t>深圳市坪山区2023年度</w:t>
      </w:r>
    </w:p>
    <w:p>
      <w:pPr>
        <w:pStyle w:val="13"/>
        <w:ind w:firstLine="0" w:firstLineChars="0"/>
        <w:jc w:val="center"/>
        <w:rPr>
          <w:rFonts w:ascii="方正小标宋_GBK" w:hAnsi="方正小标宋_GBK" w:eastAsia="方正小标宋_GBK" w:cs="方正小标宋_GBK"/>
          <w:b/>
          <w:bCs/>
          <w:sz w:val="72"/>
          <w:szCs w:val="72"/>
        </w:rPr>
      </w:pPr>
      <w:r>
        <w:rPr>
          <w:rFonts w:hint="eastAsia" w:ascii="方正小标宋_GBK" w:hAnsi="方正小标宋_GBK" w:eastAsia="方正小标宋_GBK" w:cs="方正小标宋_GBK"/>
          <w:b/>
          <w:bCs/>
          <w:sz w:val="72"/>
          <w:szCs w:val="72"/>
        </w:rPr>
        <w:t>经济发展专项资金申报指南</w:t>
      </w:r>
    </w:p>
    <w:p>
      <w:pPr>
        <w:pStyle w:val="13"/>
        <w:ind w:firstLine="0" w:firstLineChars="0"/>
        <w:jc w:val="center"/>
        <w:rPr>
          <w:rFonts w:ascii="方正小标宋简体" w:eastAsia="方正小标宋简体"/>
          <w:b/>
          <w:bCs/>
          <w:sz w:val="72"/>
          <w:szCs w:val="56"/>
        </w:rPr>
      </w:pPr>
      <w:r>
        <w:rPr>
          <w:rFonts w:hint="eastAsia" w:ascii="方正小标宋_GBK" w:hAnsi="方正小标宋_GBK" w:eastAsia="方正小标宋_GBK" w:cs="方正小标宋_GBK"/>
          <w:b/>
          <w:bCs/>
          <w:sz w:val="72"/>
          <w:szCs w:val="72"/>
        </w:rPr>
        <w:t>（服务业篇）</w:t>
      </w:r>
    </w:p>
    <w:p>
      <w:pPr>
        <w:pStyle w:val="3"/>
        <w:spacing w:line="560" w:lineRule="exact"/>
        <w:ind w:firstLine="522"/>
        <w:jc w:val="center"/>
        <w:rPr>
          <w:rFonts w:ascii="仿宋_GB2312" w:hAnsi="仿宋_GB2312" w:eastAsia="仿宋_GB2312" w:cs="仿宋_GB2312"/>
          <w:b/>
          <w:spacing w:val="10"/>
          <w:szCs w:val="32"/>
        </w:rPr>
      </w:pPr>
    </w:p>
    <w:p>
      <w:pPr>
        <w:pStyle w:val="3"/>
        <w:spacing w:line="560" w:lineRule="exact"/>
        <w:ind w:firstLine="522"/>
        <w:jc w:val="center"/>
        <w:rPr>
          <w:rFonts w:ascii="仿宋_GB2312" w:hAnsi="仿宋_GB2312" w:eastAsia="仿宋_GB2312" w:cs="仿宋_GB2312"/>
          <w:b/>
          <w:spacing w:val="10"/>
          <w:szCs w:val="32"/>
        </w:rPr>
      </w:pPr>
    </w:p>
    <w:p>
      <w:pPr>
        <w:tabs>
          <w:tab w:val="left" w:pos="2431"/>
        </w:tabs>
        <w:ind w:firstLine="0" w:firstLineChars="0"/>
      </w:pPr>
      <w:bookmarkStart w:id="344" w:name="_GoBack"/>
      <w:bookmarkEnd w:id="344"/>
    </w:p>
    <w:p>
      <w:pPr>
        <w:tabs>
          <w:tab w:val="left" w:pos="2431"/>
        </w:tabs>
        <w:ind w:firstLine="0" w:firstLineChars="0"/>
      </w:pPr>
    </w:p>
    <w:p>
      <w:pPr>
        <w:pStyle w:val="13"/>
        <w:ind w:firstLine="480"/>
      </w:pPr>
    </w:p>
    <w:p>
      <w:pPr>
        <w:pStyle w:val="13"/>
        <w:ind w:firstLine="480"/>
      </w:pPr>
    </w:p>
    <w:p>
      <w:pPr>
        <w:pStyle w:val="2"/>
        <w:ind w:firstLine="240"/>
      </w:pPr>
    </w:p>
    <w:p>
      <w:pPr>
        <w:pStyle w:val="2"/>
        <w:ind w:firstLine="240"/>
      </w:pPr>
    </w:p>
    <w:p>
      <w:pPr>
        <w:pStyle w:val="2"/>
        <w:ind w:firstLine="240"/>
      </w:pPr>
    </w:p>
    <w:p>
      <w:pPr>
        <w:ind w:firstLine="0" w:firstLineChars="0"/>
        <w:jc w:val="center"/>
        <w:rPr>
          <w:rFonts w:hint="eastAsia" w:ascii="仿宋_GB2312" w:hAnsi="仿宋_GB2312" w:eastAsia="仿宋_GB2312" w:cs="仿宋_GB2312"/>
          <w:b/>
          <w:bCs/>
          <w:spacing w:val="8"/>
          <w:sz w:val="32"/>
          <w:szCs w:val="32"/>
        </w:rPr>
      </w:pPr>
      <w:r>
        <w:rPr>
          <w:rFonts w:hint="eastAsia" w:ascii="仿宋_GB2312" w:hAnsi="仿宋_GB2312" w:eastAsia="仿宋_GB2312" w:cs="仿宋_GB2312"/>
          <w:b/>
          <w:bCs/>
          <w:spacing w:val="8"/>
          <w:sz w:val="32"/>
          <w:szCs w:val="32"/>
        </w:rPr>
        <w:t>深圳市坪山区工业和信息化局（商务局、金融工作局）</w:t>
      </w:r>
    </w:p>
    <w:p>
      <w:pPr>
        <w:ind w:firstLine="0" w:firstLineChars="0"/>
        <w:jc w:val="center"/>
        <w:sectPr>
          <w:headerReference r:id="rId7" w:type="first"/>
          <w:footerReference r:id="rId10" w:type="first"/>
          <w:headerReference r:id="rId5" w:type="default"/>
          <w:footerReference r:id="rId8" w:type="default"/>
          <w:headerReference r:id="rId6" w:type="even"/>
          <w:footerReference r:id="rId9" w:type="even"/>
          <w:pgSz w:w="11906" w:h="16838"/>
          <w:pgMar w:top="1440" w:right="1559" w:bottom="1440" w:left="1400" w:header="851" w:footer="992" w:gutter="0"/>
          <w:cols w:space="425" w:num="1"/>
          <w:docGrid w:type="lines" w:linePitch="435" w:charSpace="0"/>
        </w:sectPr>
      </w:pPr>
      <w:r>
        <w:rPr>
          <w:rFonts w:hint="eastAsia" w:ascii="楷体" w:hAnsi="楷体" w:eastAsia="仿宋_GB2312" w:cs="楷体"/>
          <w:b/>
          <w:spacing w:val="10"/>
          <w:sz w:val="32"/>
          <w:szCs w:val="32"/>
        </w:rPr>
        <w:t>二</w:t>
      </w:r>
      <w:r>
        <w:rPr>
          <w:rFonts w:hint="eastAsia" w:ascii="微软雅黑" w:hAnsi="微软雅黑" w:eastAsia="微软雅黑" w:cs="微软雅黑"/>
          <w:b/>
          <w:spacing w:val="10"/>
          <w:sz w:val="32"/>
          <w:szCs w:val="32"/>
        </w:rPr>
        <w:t>〇</w:t>
      </w:r>
      <w:r>
        <w:rPr>
          <w:rFonts w:hint="eastAsia" w:ascii="仿宋_GB2312" w:hAnsi="仿宋_GB2312" w:eastAsia="仿宋_GB2312" w:cs="仿宋_GB2312"/>
          <w:b/>
          <w:spacing w:val="10"/>
          <w:sz w:val="32"/>
          <w:szCs w:val="32"/>
        </w:rPr>
        <w:t>二三年编制</w:t>
      </w:r>
    </w:p>
    <w:p>
      <w:pPr>
        <w:pStyle w:val="52"/>
        <w:jc w:val="center"/>
        <w:rPr>
          <w:rFonts w:ascii="微软雅黑" w:hAnsi="微软雅黑" w:eastAsia="微软雅黑" w:cs="微软雅黑"/>
          <w:b/>
          <w:bCs/>
          <w:color w:val="auto"/>
          <w:sz w:val="40"/>
          <w:szCs w:val="40"/>
        </w:rPr>
      </w:pPr>
      <w:r>
        <w:rPr>
          <w:rFonts w:hint="eastAsia" w:ascii="微软雅黑" w:hAnsi="微软雅黑" w:eastAsia="微软雅黑" w:cs="微软雅黑"/>
          <w:b/>
          <w:bCs/>
          <w:color w:val="auto"/>
          <w:sz w:val="40"/>
          <w:szCs w:val="40"/>
          <w:lang w:val="zh-CN"/>
        </w:rPr>
        <w:t>目  录</w:t>
      </w:r>
    </w:p>
    <w:p>
      <w:pPr>
        <w:pStyle w:val="17"/>
        <w:tabs>
          <w:tab w:val="right" w:leader="dot" w:pos="8296"/>
        </w:tabs>
        <w:rPr>
          <w:rFonts w:eastAsia="宋体" w:asciiTheme="minorHAnsi" w:hAnsiTheme="minorHAnsi" w:cstheme="minorBidi"/>
          <w:b w:val="0"/>
          <w:sz w:val="21"/>
          <w14:ligatures w14:val="standardContextual"/>
        </w:rPr>
      </w:pPr>
      <w:r>
        <w:rPr>
          <w:rFonts w:ascii="黑体" w:hAnsi="黑体" w:eastAsia="宋体" w:cs="黑体"/>
          <w:b w:val="0"/>
          <w:szCs w:val="24"/>
        </w:rPr>
        <w:fldChar w:fldCharType="begin"/>
      </w:r>
      <w:r>
        <w:rPr>
          <w:rFonts w:ascii="黑体" w:hAnsi="黑体" w:eastAsia="宋体" w:cs="黑体"/>
          <w:b w:val="0"/>
          <w:szCs w:val="24"/>
        </w:rPr>
        <w:instrText xml:space="preserve"> TOC \o "1-3" \h \z \u </w:instrText>
      </w:r>
      <w:r>
        <w:rPr>
          <w:rFonts w:ascii="黑体" w:hAnsi="黑体" w:eastAsia="宋体" w:cs="黑体"/>
          <w:b w:val="0"/>
          <w:szCs w:val="24"/>
        </w:rPr>
        <w:fldChar w:fldCharType="separate"/>
      </w:r>
      <w:r>
        <w:fldChar w:fldCharType="begin"/>
      </w:r>
      <w:r>
        <w:instrText xml:space="preserve"> HYPERLINK \l "_Toc138949319" </w:instrText>
      </w:r>
      <w:r>
        <w:fldChar w:fldCharType="separate"/>
      </w:r>
      <w:r>
        <w:rPr>
          <w:rStyle w:val="26"/>
          <w:rFonts w:ascii="微软雅黑" w:hAnsi="微软雅黑" w:eastAsia="宋体"/>
          <w:kern w:val="24"/>
        </w:rPr>
        <w:t>第一部分 经济发展专项资金资助项目申报与审核流程</w:t>
      </w:r>
      <w:r>
        <w:rPr>
          <w:rFonts w:eastAsia="宋体"/>
        </w:rPr>
        <w:tab/>
      </w:r>
      <w:r>
        <w:rPr>
          <w:rFonts w:eastAsia="宋体"/>
        </w:rPr>
        <w:fldChar w:fldCharType="begin"/>
      </w:r>
      <w:r>
        <w:rPr>
          <w:rFonts w:eastAsia="宋体"/>
        </w:rPr>
        <w:instrText xml:space="preserve"> PAGEREF _Toc138949319 \h </w:instrText>
      </w:r>
      <w:r>
        <w:rPr>
          <w:rFonts w:eastAsia="宋体"/>
        </w:rPr>
        <w:fldChar w:fldCharType="separate"/>
      </w:r>
      <w:r>
        <w:rPr>
          <w:rFonts w:eastAsia="宋体"/>
        </w:rPr>
        <w:t>1</w:t>
      </w:r>
      <w:r>
        <w:rPr>
          <w:rFonts w:eastAsia="宋体"/>
        </w:rPr>
        <w:fldChar w:fldCharType="end"/>
      </w:r>
      <w:r>
        <w:rPr>
          <w:rFonts w:eastAsia="宋体"/>
        </w:rPr>
        <w:fldChar w:fldCharType="end"/>
      </w:r>
    </w:p>
    <w:p>
      <w:pPr>
        <w:pStyle w:val="17"/>
        <w:tabs>
          <w:tab w:val="right" w:leader="dot" w:pos="8296"/>
        </w:tabs>
        <w:rPr>
          <w:rFonts w:eastAsia="宋体" w:asciiTheme="minorHAnsi" w:hAnsiTheme="minorHAnsi" w:cstheme="minorBidi"/>
          <w:b w:val="0"/>
          <w:sz w:val="21"/>
          <w14:ligatures w14:val="standardContextual"/>
        </w:rPr>
      </w:pPr>
      <w:r>
        <w:fldChar w:fldCharType="begin"/>
      </w:r>
      <w:r>
        <w:instrText xml:space="preserve"> HYPERLINK \l "_Toc138949320" </w:instrText>
      </w:r>
      <w:r>
        <w:fldChar w:fldCharType="separate"/>
      </w:r>
      <w:r>
        <w:rPr>
          <w:rStyle w:val="26"/>
          <w:rFonts w:ascii="微软雅黑" w:hAnsi="微软雅黑" w:eastAsia="宋体"/>
          <w:kern w:val="24"/>
        </w:rPr>
        <w:t>第二部分 经济发展专项资金资助项目申报说明</w:t>
      </w:r>
      <w:r>
        <w:rPr>
          <w:rFonts w:eastAsia="宋体"/>
        </w:rPr>
        <w:tab/>
      </w:r>
      <w:r>
        <w:rPr>
          <w:rFonts w:eastAsia="宋体"/>
        </w:rPr>
        <w:fldChar w:fldCharType="begin"/>
      </w:r>
      <w:r>
        <w:rPr>
          <w:rFonts w:eastAsia="宋体"/>
        </w:rPr>
        <w:instrText xml:space="preserve"> PAGEREF _Toc138949320 \h </w:instrText>
      </w:r>
      <w:r>
        <w:rPr>
          <w:rFonts w:eastAsia="宋体"/>
        </w:rPr>
        <w:fldChar w:fldCharType="separate"/>
      </w:r>
      <w:r>
        <w:rPr>
          <w:rFonts w:eastAsia="宋体"/>
        </w:rPr>
        <w:t>3</w:t>
      </w:r>
      <w:r>
        <w:rPr>
          <w:rFonts w:eastAsia="宋体"/>
        </w:rPr>
        <w:fldChar w:fldCharType="end"/>
      </w:r>
      <w:r>
        <w:rPr>
          <w:rFonts w:eastAsia="宋体"/>
        </w:rPr>
        <w:fldChar w:fldCharType="end"/>
      </w:r>
    </w:p>
    <w:p>
      <w:pPr>
        <w:pStyle w:val="17"/>
        <w:tabs>
          <w:tab w:val="right" w:leader="dot" w:pos="8296"/>
        </w:tabs>
        <w:rPr>
          <w:rFonts w:eastAsia="宋体" w:asciiTheme="minorHAnsi" w:hAnsiTheme="minorHAnsi" w:cstheme="minorBidi"/>
          <w:b w:val="0"/>
          <w:sz w:val="21"/>
          <w14:ligatures w14:val="standardContextual"/>
        </w:rPr>
      </w:pPr>
      <w:r>
        <w:fldChar w:fldCharType="begin"/>
      </w:r>
      <w:r>
        <w:instrText xml:space="preserve"> HYPERLINK \l "_Toc138949321" </w:instrText>
      </w:r>
      <w:r>
        <w:fldChar w:fldCharType="separate"/>
      </w:r>
      <w:r>
        <w:rPr>
          <w:rStyle w:val="26"/>
          <w:rFonts w:ascii="微软雅黑" w:hAnsi="微软雅黑" w:eastAsia="宋体"/>
          <w:kern w:val="24"/>
        </w:rPr>
        <w:t>第三部分“坪山区科技创新和经济发展专项资金申报平台”使用指南</w:t>
      </w:r>
      <w:r>
        <w:rPr>
          <w:rFonts w:eastAsia="宋体"/>
        </w:rPr>
        <w:tab/>
      </w:r>
      <w:r>
        <w:rPr>
          <w:rFonts w:eastAsia="宋体"/>
        </w:rPr>
        <w:fldChar w:fldCharType="begin"/>
      </w:r>
      <w:r>
        <w:rPr>
          <w:rFonts w:eastAsia="宋体"/>
        </w:rPr>
        <w:instrText xml:space="preserve"> PAGEREF _Toc138949321 \h </w:instrText>
      </w:r>
      <w:r>
        <w:rPr>
          <w:rFonts w:eastAsia="宋体"/>
        </w:rPr>
        <w:fldChar w:fldCharType="separate"/>
      </w:r>
      <w:r>
        <w:rPr>
          <w:rFonts w:eastAsia="宋体"/>
        </w:rPr>
        <w:t>6</w:t>
      </w:r>
      <w:r>
        <w:rPr>
          <w:rFonts w:eastAsia="宋体"/>
        </w:rPr>
        <w:fldChar w:fldCharType="end"/>
      </w:r>
      <w:r>
        <w:rPr>
          <w:rFonts w:eastAsia="宋体"/>
        </w:rPr>
        <w:fldChar w:fldCharType="end"/>
      </w:r>
    </w:p>
    <w:p>
      <w:pPr>
        <w:pStyle w:val="17"/>
        <w:tabs>
          <w:tab w:val="right" w:leader="dot" w:pos="8296"/>
        </w:tabs>
        <w:rPr>
          <w:rFonts w:eastAsia="宋体" w:asciiTheme="minorHAnsi" w:hAnsiTheme="minorHAnsi" w:cstheme="minorBidi"/>
          <w:b w:val="0"/>
          <w:sz w:val="21"/>
          <w14:ligatures w14:val="standardContextual"/>
        </w:rPr>
      </w:pPr>
      <w:r>
        <w:fldChar w:fldCharType="begin"/>
      </w:r>
      <w:r>
        <w:instrText xml:space="preserve"> HYPERLINK \l "_Toc138949332" </w:instrText>
      </w:r>
      <w:r>
        <w:fldChar w:fldCharType="separate"/>
      </w:r>
      <w:r>
        <w:rPr>
          <w:rStyle w:val="26"/>
          <w:rFonts w:ascii="微软雅黑" w:hAnsi="微软雅黑" w:eastAsia="宋体"/>
          <w:kern w:val="24"/>
        </w:rPr>
        <w:t>第四部分 服务业资助项目申报指南</w:t>
      </w:r>
      <w:r>
        <w:rPr>
          <w:rFonts w:eastAsia="宋体"/>
        </w:rPr>
        <w:tab/>
      </w:r>
      <w:r>
        <w:rPr>
          <w:rFonts w:eastAsia="宋体"/>
        </w:rPr>
        <w:fldChar w:fldCharType="begin"/>
      </w:r>
      <w:r>
        <w:rPr>
          <w:rFonts w:eastAsia="宋体"/>
        </w:rPr>
        <w:instrText xml:space="preserve"> PAGEREF _Toc138949332 \h </w:instrText>
      </w:r>
      <w:r>
        <w:rPr>
          <w:rFonts w:eastAsia="宋体"/>
        </w:rPr>
        <w:fldChar w:fldCharType="separate"/>
      </w:r>
      <w:r>
        <w:rPr>
          <w:rFonts w:eastAsia="宋体"/>
        </w:rPr>
        <w:t>20</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"_Toc138949333" </w:instrText>
      </w:r>
      <w:r>
        <w:fldChar w:fldCharType="separate"/>
      </w:r>
      <w:r>
        <w:rPr>
          <w:rStyle w:val="26"/>
          <w:rFonts w:ascii="黑体" w:hAnsi="黑体" w:eastAsia="宋体" w:cs="黑体"/>
        </w:rPr>
        <w:t>第一章 支持金融业发展</w:t>
      </w:r>
      <w:r>
        <w:rPr>
          <w:rFonts w:eastAsia="宋体"/>
        </w:rPr>
        <w:tab/>
      </w:r>
      <w:r>
        <w:rPr>
          <w:rFonts w:eastAsia="宋体"/>
        </w:rPr>
        <w:fldChar w:fldCharType="begin"/>
      </w:r>
      <w:r>
        <w:rPr>
          <w:rFonts w:eastAsia="宋体"/>
        </w:rPr>
        <w:instrText xml:space="preserve"> PAGEREF _Toc138949333 \h </w:instrText>
      </w:r>
      <w:r>
        <w:rPr>
          <w:rFonts w:eastAsia="宋体"/>
        </w:rPr>
        <w:fldChar w:fldCharType="separate"/>
      </w:r>
      <w:r>
        <w:rPr>
          <w:rFonts w:eastAsia="宋体"/>
        </w:rPr>
        <w:t>20</w:t>
      </w:r>
      <w:r>
        <w:rPr>
          <w:rFonts w:eastAsia="宋体"/>
        </w:rPr>
        <w:fldChar w:fldCharType="end"/>
      </w:r>
      <w:r>
        <w:rPr>
          <w:rFonts w:eastAsia="宋体"/>
        </w:rP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"_Toc138949334" </w:instrText>
      </w:r>
      <w:r>
        <w:fldChar w:fldCharType="separate"/>
      </w:r>
      <w:r>
        <w:rPr>
          <w:rStyle w:val="26"/>
        </w:rPr>
        <w:t>第一节 支持地方金融机构集聚发展专项资助</w:t>
      </w:r>
      <w:r>
        <w:tab/>
      </w:r>
      <w:r>
        <w:fldChar w:fldCharType="begin"/>
      </w:r>
      <w:r>
        <w:instrText xml:space="preserve"> PAGEREF _Toc138949334 \h </w:instrText>
      </w:r>
      <w:r>
        <w:fldChar w:fldCharType="separate"/>
      </w:r>
      <w:r>
        <w:t>20</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"_Toc138949335" </w:instrText>
      </w:r>
      <w:r>
        <w:fldChar w:fldCharType="separate"/>
      </w:r>
      <w:r>
        <w:rPr>
          <w:rStyle w:val="26"/>
        </w:rPr>
        <w:t>第二节 支持新型金融机构集聚发展专项资助</w:t>
      </w:r>
      <w:r>
        <w:tab/>
      </w:r>
      <w:r>
        <w:fldChar w:fldCharType="begin"/>
      </w:r>
      <w:r>
        <w:instrText xml:space="preserve"> PAGEREF _Toc138949335 \h </w:instrText>
      </w:r>
      <w:r>
        <w:fldChar w:fldCharType="separate"/>
      </w:r>
      <w:r>
        <w:t>23</w:t>
      </w:r>
      <w:r>
        <w:fldChar w:fldCharType="end"/>
      </w:r>
      <w: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"_Toc138949336" </w:instrText>
      </w:r>
      <w:r>
        <w:fldChar w:fldCharType="separate"/>
      </w:r>
      <w:r>
        <w:rPr>
          <w:rStyle w:val="26"/>
          <w:rFonts w:ascii="黑体" w:hAnsi="黑体" w:eastAsia="宋体" w:cs="黑体"/>
        </w:rPr>
        <w:t>第二章 支持商贸业发展</w:t>
      </w:r>
      <w:r>
        <w:rPr>
          <w:rFonts w:eastAsia="宋体"/>
        </w:rPr>
        <w:tab/>
      </w:r>
      <w:r>
        <w:rPr>
          <w:rFonts w:eastAsia="宋体"/>
        </w:rPr>
        <w:fldChar w:fldCharType="begin"/>
      </w:r>
      <w:r>
        <w:rPr>
          <w:rFonts w:eastAsia="宋体"/>
        </w:rPr>
        <w:instrText xml:space="preserve"> PAGEREF _Toc138949336 \h </w:instrText>
      </w:r>
      <w:r>
        <w:rPr>
          <w:rFonts w:eastAsia="宋体"/>
        </w:rPr>
        <w:fldChar w:fldCharType="separate"/>
      </w:r>
      <w:r>
        <w:rPr>
          <w:rFonts w:eastAsia="宋体"/>
        </w:rPr>
        <w:t>26</w:t>
      </w:r>
      <w:r>
        <w:rPr>
          <w:rFonts w:eastAsia="宋体"/>
        </w:rPr>
        <w:fldChar w:fldCharType="end"/>
      </w:r>
      <w:r>
        <w:rPr>
          <w:rFonts w:eastAsia="宋体"/>
        </w:rP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"_Toc138949337" </w:instrText>
      </w:r>
      <w:r>
        <w:fldChar w:fldCharType="separate"/>
      </w:r>
      <w:r>
        <w:rPr>
          <w:rStyle w:val="26"/>
        </w:rPr>
        <w:t>第三节 支持商业集聚发展专项资助</w:t>
      </w:r>
      <w:r>
        <w:tab/>
      </w:r>
      <w:r>
        <w:fldChar w:fldCharType="begin"/>
      </w:r>
      <w:r>
        <w:instrText xml:space="preserve"> PAGEREF _Toc138949337 \h </w:instrText>
      </w:r>
      <w:r>
        <w:fldChar w:fldCharType="separate"/>
      </w:r>
      <w:r>
        <w:t>26</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"_Toc138949338" </w:instrText>
      </w:r>
      <w:r>
        <w:fldChar w:fldCharType="separate"/>
      </w:r>
      <w:r>
        <w:rPr>
          <w:rStyle w:val="26"/>
        </w:rPr>
        <w:t>第四节 支持商业高质高速发展专项资助</w:t>
      </w:r>
      <w:r>
        <w:tab/>
      </w:r>
      <w:r>
        <w:fldChar w:fldCharType="begin"/>
      </w:r>
      <w:r>
        <w:instrText xml:space="preserve"> PAGEREF _Toc138949338 \h </w:instrText>
      </w:r>
      <w:r>
        <w:fldChar w:fldCharType="separate"/>
      </w:r>
      <w:r>
        <w:t>29</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"_Toc138949339" </w:instrText>
      </w:r>
      <w:r>
        <w:fldChar w:fldCharType="separate"/>
      </w:r>
      <w:r>
        <w:rPr>
          <w:rStyle w:val="26"/>
        </w:rPr>
        <w:t>第五节 支持建设商业配套专项资助</w:t>
      </w:r>
      <w:r>
        <w:tab/>
      </w:r>
      <w:r>
        <w:fldChar w:fldCharType="begin"/>
      </w:r>
      <w:r>
        <w:instrText xml:space="preserve"> PAGEREF _Toc138949339 \h </w:instrText>
      </w:r>
      <w:r>
        <w:fldChar w:fldCharType="separate"/>
      </w:r>
      <w:r>
        <w:t>32</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"_Toc138949340" </w:instrText>
      </w:r>
      <w:r>
        <w:fldChar w:fldCharType="separate"/>
      </w:r>
      <w:r>
        <w:rPr>
          <w:rStyle w:val="26"/>
        </w:rPr>
        <w:t>第六节 支持商业品牌发展专项资助</w:t>
      </w:r>
      <w:r>
        <w:tab/>
      </w:r>
      <w:r>
        <w:fldChar w:fldCharType="begin"/>
      </w:r>
      <w:r>
        <w:instrText xml:space="preserve"> PAGEREF _Toc138949340 \h </w:instrText>
      </w:r>
      <w:r>
        <w:fldChar w:fldCharType="separate"/>
      </w:r>
      <w:r>
        <w:t>35</w:t>
      </w:r>
      <w:r>
        <w:fldChar w:fldCharType="end"/>
      </w:r>
      <w: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"_Toc138949341" </w:instrText>
      </w:r>
      <w:r>
        <w:fldChar w:fldCharType="separate"/>
      </w:r>
      <w:r>
        <w:rPr>
          <w:rStyle w:val="26"/>
          <w:rFonts w:ascii="黑体" w:hAnsi="黑体" w:eastAsia="宋体" w:cs="黑体"/>
        </w:rPr>
        <w:t>第三章 支持营利性服务业发展</w:t>
      </w:r>
      <w:r>
        <w:rPr>
          <w:rFonts w:eastAsia="宋体"/>
        </w:rPr>
        <w:tab/>
      </w:r>
      <w:r>
        <w:rPr>
          <w:rFonts w:eastAsia="宋体"/>
        </w:rPr>
        <w:fldChar w:fldCharType="begin"/>
      </w:r>
      <w:r>
        <w:rPr>
          <w:rFonts w:eastAsia="宋体"/>
        </w:rPr>
        <w:instrText xml:space="preserve"> PAGEREF _Toc138949341 \h </w:instrText>
      </w:r>
      <w:r>
        <w:rPr>
          <w:rFonts w:eastAsia="宋体"/>
        </w:rPr>
        <w:fldChar w:fldCharType="separate"/>
      </w:r>
      <w:r>
        <w:rPr>
          <w:rFonts w:eastAsia="宋体"/>
        </w:rPr>
        <w:t>39</w:t>
      </w:r>
      <w:r>
        <w:rPr>
          <w:rFonts w:eastAsia="宋体"/>
        </w:rPr>
        <w:fldChar w:fldCharType="end"/>
      </w:r>
      <w:r>
        <w:rPr>
          <w:rFonts w:eastAsia="宋体"/>
        </w:rP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"_Toc138949342" </w:instrText>
      </w:r>
      <w:r>
        <w:fldChar w:fldCharType="separate"/>
      </w:r>
      <w:r>
        <w:rPr>
          <w:rStyle w:val="26"/>
        </w:rPr>
        <w:t>第七节 支持营利性服务业集聚发展专项资助</w:t>
      </w:r>
      <w:r>
        <w:tab/>
      </w:r>
      <w:r>
        <w:fldChar w:fldCharType="begin"/>
      </w:r>
      <w:r>
        <w:instrText xml:space="preserve"> PAGEREF _Toc138949342 \h </w:instrText>
      </w:r>
      <w:r>
        <w:fldChar w:fldCharType="separate"/>
      </w:r>
      <w:r>
        <w:t>39</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"_Toc138949343" </w:instrText>
      </w:r>
      <w:r>
        <w:fldChar w:fldCharType="separate"/>
      </w:r>
      <w:r>
        <w:rPr>
          <w:rStyle w:val="26"/>
        </w:rPr>
        <w:t>第八节 支持营利性服务业高质高速发展专项资助</w:t>
      </w:r>
      <w:r>
        <w:tab/>
      </w:r>
      <w:r>
        <w:fldChar w:fldCharType="begin"/>
      </w:r>
      <w:r>
        <w:instrText xml:space="preserve"> PAGEREF _Toc138949343 \h </w:instrText>
      </w:r>
      <w:r>
        <w:fldChar w:fldCharType="separate"/>
      </w:r>
      <w:r>
        <w:t>42</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"_Toc138949344" </w:instrText>
      </w:r>
      <w:r>
        <w:fldChar w:fldCharType="separate"/>
      </w:r>
      <w:r>
        <w:rPr>
          <w:rStyle w:val="26"/>
        </w:rPr>
        <w:t>第九节 支持法律会计服务业集聚发展专项资助</w:t>
      </w:r>
      <w:r>
        <w:tab/>
      </w:r>
      <w:r>
        <w:fldChar w:fldCharType="begin"/>
      </w:r>
      <w:r>
        <w:instrText xml:space="preserve"> PAGEREF _Toc138949344 \h </w:instrText>
      </w:r>
      <w:r>
        <w:fldChar w:fldCharType="separate"/>
      </w:r>
      <w:r>
        <w:t>45</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"_Toc138949345" </w:instrText>
      </w:r>
      <w:r>
        <w:fldChar w:fldCharType="separate"/>
      </w:r>
      <w:r>
        <w:rPr>
          <w:rStyle w:val="26"/>
        </w:rPr>
        <w:t>第十节 支持法律服务实体经济专项资助</w:t>
      </w:r>
      <w:r>
        <w:tab/>
      </w:r>
      <w:r>
        <w:fldChar w:fldCharType="begin"/>
      </w:r>
      <w:r>
        <w:instrText xml:space="preserve"> PAGEREF _Toc138949345 \h </w:instrText>
      </w:r>
      <w:r>
        <w:fldChar w:fldCharType="separate"/>
      </w:r>
      <w:r>
        <w:t>52</w:t>
      </w:r>
      <w:r>
        <w:fldChar w:fldCharType="end"/>
      </w:r>
      <w: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"_Toc138949346" </w:instrText>
      </w:r>
      <w:r>
        <w:fldChar w:fldCharType="separate"/>
      </w:r>
      <w:r>
        <w:rPr>
          <w:rStyle w:val="26"/>
          <w:rFonts w:ascii="黑体" w:hAnsi="黑体" w:eastAsia="宋体" w:cs="黑体"/>
        </w:rPr>
        <w:t>第四章 支持会展业发展</w:t>
      </w:r>
      <w:r>
        <w:rPr>
          <w:rFonts w:eastAsia="宋体"/>
        </w:rPr>
        <w:tab/>
      </w:r>
      <w:r>
        <w:rPr>
          <w:rFonts w:eastAsia="宋体"/>
        </w:rPr>
        <w:fldChar w:fldCharType="begin"/>
      </w:r>
      <w:r>
        <w:rPr>
          <w:rFonts w:eastAsia="宋体"/>
        </w:rPr>
        <w:instrText xml:space="preserve"> PAGEREF _Toc138949346 \h </w:instrText>
      </w:r>
      <w:r>
        <w:rPr>
          <w:rFonts w:eastAsia="宋体"/>
        </w:rPr>
        <w:fldChar w:fldCharType="separate"/>
      </w:r>
      <w:r>
        <w:rPr>
          <w:rFonts w:eastAsia="宋体"/>
        </w:rPr>
        <w:t>54</w:t>
      </w:r>
      <w:r>
        <w:rPr>
          <w:rFonts w:eastAsia="宋体"/>
        </w:rPr>
        <w:fldChar w:fldCharType="end"/>
      </w:r>
      <w:r>
        <w:rPr>
          <w:rFonts w:eastAsia="宋体"/>
        </w:rP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"_Toc138949347" </w:instrText>
      </w:r>
      <w:r>
        <w:fldChar w:fldCharType="separate"/>
      </w:r>
      <w:r>
        <w:rPr>
          <w:rStyle w:val="26"/>
        </w:rPr>
        <w:t>第十一节 支持会展业集聚和品牌发展专项资助</w:t>
      </w:r>
      <w:r>
        <w:tab/>
      </w:r>
      <w:r>
        <w:fldChar w:fldCharType="begin"/>
      </w:r>
      <w:r>
        <w:instrText xml:space="preserve"> PAGEREF _Toc138949347 \h </w:instrText>
      </w:r>
      <w:r>
        <w:fldChar w:fldCharType="separate"/>
      </w:r>
      <w:r>
        <w:t>54</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"_Toc138949348" </w:instrText>
      </w:r>
      <w:r>
        <w:fldChar w:fldCharType="separate"/>
      </w:r>
      <w:r>
        <w:rPr>
          <w:rStyle w:val="26"/>
        </w:rPr>
        <w:t>第十二节 支持专业会议和赛事专项资助</w:t>
      </w:r>
      <w:r>
        <w:tab/>
      </w:r>
      <w:r>
        <w:fldChar w:fldCharType="begin"/>
      </w:r>
      <w:r>
        <w:instrText xml:space="preserve"> PAGEREF _Toc138949348 \h </w:instrText>
      </w:r>
      <w:r>
        <w:fldChar w:fldCharType="separate"/>
      </w:r>
      <w:r>
        <w:t>57</w:t>
      </w:r>
      <w:r>
        <w:fldChar w:fldCharType="end"/>
      </w:r>
      <w: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"_Toc138949349" </w:instrText>
      </w:r>
      <w:r>
        <w:fldChar w:fldCharType="separate"/>
      </w:r>
      <w:r>
        <w:rPr>
          <w:rStyle w:val="26"/>
          <w:rFonts w:ascii="黑体" w:hAnsi="黑体" w:eastAsia="宋体" w:cs="黑体"/>
        </w:rPr>
        <w:t>第五章 支持保税服务发展</w:t>
      </w:r>
      <w:r>
        <w:rPr>
          <w:rFonts w:eastAsia="宋体"/>
        </w:rPr>
        <w:tab/>
      </w:r>
      <w:r>
        <w:rPr>
          <w:rFonts w:eastAsia="宋体"/>
        </w:rPr>
        <w:fldChar w:fldCharType="begin"/>
      </w:r>
      <w:r>
        <w:rPr>
          <w:rFonts w:eastAsia="宋体"/>
        </w:rPr>
        <w:instrText xml:space="preserve"> PAGEREF _Toc138949349 \h </w:instrText>
      </w:r>
      <w:r>
        <w:rPr>
          <w:rFonts w:eastAsia="宋体"/>
        </w:rPr>
        <w:fldChar w:fldCharType="separate"/>
      </w:r>
      <w:r>
        <w:rPr>
          <w:rFonts w:eastAsia="宋体"/>
        </w:rPr>
        <w:t>60</w:t>
      </w:r>
      <w:r>
        <w:rPr>
          <w:rFonts w:eastAsia="宋体"/>
        </w:rPr>
        <w:fldChar w:fldCharType="end"/>
      </w:r>
      <w:r>
        <w:rPr>
          <w:rFonts w:eastAsia="宋体"/>
        </w:rP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"_Toc138949350" </w:instrText>
      </w:r>
      <w:r>
        <w:fldChar w:fldCharType="separate"/>
      </w:r>
      <w:r>
        <w:rPr>
          <w:rStyle w:val="26"/>
        </w:rPr>
        <w:t>第十三节 支持电子元器件和集成电路分拨业务发展专项资助</w:t>
      </w:r>
      <w:r>
        <w:tab/>
      </w:r>
      <w:r>
        <w:fldChar w:fldCharType="begin"/>
      </w:r>
      <w:r>
        <w:instrText xml:space="preserve"> PAGEREF _Toc138949350 \h </w:instrText>
      </w:r>
      <w:r>
        <w:fldChar w:fldCharType="separate"/>
      </w:r>
      <w:r>
        <w:t>60</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"_Toc138949351" </w:instrText>
      </w:r>
      <w:r>
        <w:fldChar w:fldCharType="separate"/>
      </w:r>
      <w:r>
        <w:rPr>
          <w:rStyle w:val="26"/>
        </w:rPr>
        <w:t>第十四节 支持物流供应链企业高质高速发展专项资助</w:t>
      </w:r>
      <w:r>
        <w:tab/>
      </w:r>
      <w:r>
        <w:fldChar w:fldCharType="begin"/>
      </w:r>
      <w:r>
        <w:instrText xml:space="preserve"> PAGEREF _Toc138949351 \h </w:instrText>
      </w:r>
      <w:r>
        <w:fldChar w:fldCharType="separate"/>
      </w:r>
      <w:r>
        <w:t>63</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"_Toc138949352" </w:instrText>
      </w:r>
      <w:r>
        <w:fldChar w:fldCharType="separate"/>
      </w:r>
      <w:r>
        <w:rPr>
          <w:rStyle w:val="26"/>
        </w:rPr>
        <w:t>第十五节 支持建设运营公共服务平台发展专项资助</w:t>
      </w:r>
      <w:r>
        <w:tab/>
      </w:r>
      <w:r>
        <w:fldChar w:fldCharType="begin"/>
      </w:r>
      <w:r>
        <w:instrText xml:space="preserve"> PAGEREF _Toc138949352 \h </w:instrText>
      </w:r>
      <w:r>
        <w:fldChar w:fldCharType="separate"/>
      </w:r>
      <w:r>
        <w:t>66</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"_Toc138949353" </w:instrText>
      </w:r>
      <w:r>
        <w:fldChar w:fldCharType="separate"/>
      </w:r>
      <w:r>
        <w:rPr>
          <w:rStyle w:val="26"/>
        </w:rPr>
        <w:t>第十六节 支持通关环境提升专项资助</w:t>
      </w:r>
      <w:r>
        <w:tab/>
      </w:r>
      <w:r>
        <w:fldChar w:fldCharType="begin"/>
      </w:r>
      <w:r>
        <w:instrText xml:space="preserve"> PAGEREF _Toc138949353 \h </w:instrText>
      </w:r>
      <w:r>
        <w:fldChar w:fldCharType="separate"/>
      </w:r>
      <w:r>
        <w:t>69</w:t>
      </w:r>
      <w:r>
        <w:fldChar w:fldCharType="end"/>
      </w:r>
      <w: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"_Toc138949354" </w:instrText>
      </w:r>
      <w:r>
        <w:fldChar w:fldCharType="separate"/>
      </w:r>
      <w:r>
        <w:rPr>
          <w:rStyle w:val="26"/>
          <w:rFonts w:ascii="黑体" w:hAnsi="黑体" w:eastAsia="宋体" w:cs="黑体"/>
        </w:rPr>
        <w:t>第六章 支持服务业新业态发展</w:t>
      </w:r>
      <w:r>
        <w:rPr>
          <w:rFonts w:eastAsia="宋体"/>
        </w:rPr>
        <w:tab/>
      </w:r>
      <w:r>
        <w:rPr>
          <w:rFonts w:eastAsia="宋体"/>
        </w:rPr>
        <w:fldChar w:fldCharType="begin"/>
      </w:r>
      <w:r>
        <w:rPr>
          <w:rFonts w:eastAsia="宋体"/>
        </w:rPr>
        <w:instrText xml:space="preserve"> PAGEREF _Toc138949354 \h </w:instrText>
      </w:r>
      <w:r>
        <w:rPr>
          <w:rFonts w:eastAsia="宋体"/>
        </w:rPr>
        <w:fldChar w:fldCharType="separate"/>
      </w:r>
      <w:r>
        <w:rPr>
          <w:rFonts w:eastAsia="宋体"/>
        </w:rPr>
        <w:t>71</w:t>
      </w:r>
      <w:r>
        <w:rPr>
          <w:rFonts w:eastAsia="宋体"/>
        </w:rPr>
        <w:fldChar w:fldCharType="end"/>
      </w:r>
      <w:r>
        <w:rPr>
          <w:rFonts w:eastAsia="宋体"/>
        </w:rP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"_Toc138949355" </w:instrText>
      </w:r>
      <w:r>
        <w:fldChar w:fldCharType="separate"/>
      </w:r>
      <w:r>
        <w:rPr>
          <w:rStyle w:val="26"/>
        </w:rPr>
        <w:t>第十七节 支持贸易型总部集聚发展专项资助</w:t>
      </w:r>
      <w:r>
        <w:tab/>
      </w:r>
      <w:r>
        <w:fldChar w:fldCharType="begin"/>
      </w:r>
      <w:r>
        <w:instrText xml:space="preserve"> PAGEREF _Toc138949355 \h </w:instrText>
      </w:r>
      <w:r>
        <w:fldChar w:fldCharType="separate"/>
      </w:r>
      <w:r>
        <w:t>71</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"_Toc138949356" </w:instrText>
      </w:r>
      <w:r>
        <w:fldChar w:fldCharType="separate"/>
      </w:r>
      <w:r>
        <w:rPr>
          <w:rStyle w:val="26"/>
        </w:rPr>
        <w:t>第十八节 支持跨境贸易发展专项资助</w:t>
      </w:r>
      <w:r>
        <w:tab/>
      </w:r>
      <w:r>
        <w:fldChar w:fldCharType="begin"/>
      </w:r>
      <w:r>
        <w:instrText xml:space="preserve"> PAGEREF _Toc138949356 \h </w:instrText>
      </w:r>
      <w:r>
        <w:fldChar w:fldCharType="separate"/>
      </w:r>
      <w:r>
        <w:t>74</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"_Toc138949357" </w:instrText>
      </w:r>
      <w:r>
        <w:fldChar w:fldCharType="separate"/>
      </w:r>
      <w:r>
        <w:rPr>
          <w:rStyle w:val="26"/>
        </w:rPr>
        <w:t>第十九节 支持消费新业态发展专项资助</w:t>
      </w:r>
      <w:r>
        <w:tab/>
      </w:r>
      <w:r>
        <w:fldChar w:fldCharType="begin"/>
      </w:r>
      <w:r>
        <w:instrText xml:space="preserve"> PAGEREF _Toc138949357 \h </w:instrText>
      </w:r>
      <w:r>
        <w:fldChar w:fldCharType="separate"/>
      </w:r>
      <w:r>
        <w:t>77</w:t>
      </w:r>
      <w:r>
        <w:fldChar w:fldCharType="end"/>
      </w:r>
      <w:r>
        <w:fldChar w:fldCharType="end"/>
      </w:r>
    </w:p>
    <w:p>
      <w:pPr>
        <w:pStyle w:val="12"/>
        <w:tabs>
          <w:tab w:val="right" w:leader="dot" w:pos="8296"/>
        </w:tabs>
        <w:ind w:left="960" w:firstLine="0" w:firstLineChars="0"/>
        <w:rPr>
          <w:rFonts w:asciiTheme="minorHAnsi" w:hAnsiTheme="minorHAnsi" w:cstheme="minorBidi"/>
          <w:sz w:val="21"/>
          <w14:ligatures w14:val="standardContextual"/>
        </w:rPr>
      </w:pPr>
      <w:r>
        <w:fldChar w:fldCharType="begin"/>
      </w:r>
      <w:r>
        <w:instrText xml:space="preserve"> HYPERLINK \l "_Toc138949358" </w:instrText>
      </w:r>
      <w:r>
        <w:fldChar w:fldCharType="separate"/>
      </w:r>
      <w:r>
        <w:rPr>
          <w:rStyle w:val="26"/>
        </w:rPr>
        <w:t>第二十节 支持直升机固定航线发展专项资助</w:t>
      </w:r>
      <w:r>
        <w:tab/>
      </w:r>
      <w:r>
        <w:fldChar w:fldCharType="begin"/>
      </w:r>
      <w:r>
        <w:instrText xml:space="preserve"> PAGEREF _Toc138949358 \h </w:instrText>
      </w:r>
      <w:r>
        <w:fldChar w:fldCharType="separate"/>
      </w:r>
      <w:r>
        <w:t>79</w:t>
      </w:r>
      <w:r>
        <w:fldChar w:fldCharType="end"/>
      </w:r>
      <w:r>
        <w:fldChar w:fldCharType="end"/>
      </w:r>
    </w:p>
    <w:p>
      <w:pPr>
        <w:pStyle w:val="17"/>
        <w:tabs>
          <w:tab w:val="right" w:leader="dot" w:pos="8296"/>
        </w:tabs>
        <w:rPr>
          <w:rFonts w:eastAsia="宋体" w:asciiTheme="minorHAnsi" w:hAnsiTheme="minorHAnsi" w:cstheme="minorBidi"/>
          <w:b w:val="0"/>
          <w:sz w:val="21"/>
          <w14:ligatures w14:val="standardContextual"/>
        </w:rPr>
      </w:pPr>
      <w:r>
        <w:fldChar w:fldCharType="begin"/>
      </w:r>
      <w:r>
        <w:instrText xml:space="preserve"> HYPERLINK \l "_Toc138949359" </w:instrText>
      </w:r>
      <w:r>
        <w:fldChar w:fldCharType="separate"/>
      </w:r>
      <w:r>
        <w:rPr>
          <w:rStyle w:val="26"/>
          <w:rFonts w:ascii="微软雅黑" w:hAnsi="微软雅黑" w:eastAsia="宋体"/>
          <w:kern w:val="24"/>
        </w:rPr>
        <w:t>第五部分  经济发展专项资助政策及相关文件</w:t>
      </w:r>
      <w:r>
        <w:rPr>
          <w:rFonts w:eastAsia="宋体"/>
        </w:rPr>
        <w:tab/>
      </w:r>
      <w:r>
        <w:rPr>
          <w:rFonts w:eastAsia="宋体"/>
        </w:rPr>
        <w:fldChar w:fldCharType="begin"/>
      </w:r>
      <w:r>
        <w:rPr>
          <w:rFonts w:eastAsia="宋体"/>
        </w:rPr>
        <w:instrText xml:space="preserve"> PAGEREF _Toc138949359 \h </w:instrText>
      </w:r>
      <w:r>
        <w:rPr>
          <w:rFonts w:eastAsia="宋体"/>
        </w:rPr>
        <w:fldChar w:fldCharType="separate"/>
      </w:r>
      <w:r>
        <w:rPr>
          <w:rFonts w:eastAsia="宋体"/>
        </w:rPr>
        <w:t>81</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"_Toc138949360" </w:instrText>
      </w:r>
      <w:r>
        <w:fldChar w:fldCharType="separate"/>
      </w:r>
      <w:r>
        <w:rPr>
          <w:rStyle w:val="26"/>
          <w:rFonts w:ascii="宋体" w:hAnsi="宋体" w:eastAsia="宋体" w:cs="宋体"/>
          <w:kern w:val="0"/>
        </w:rPr>
        <w:t>（一）深圳市坪山区经济发展专项资金管理办法</w:t>
      </w:r>
      <w:r>
        <w:rPr>
          <w:rFonts w:eastAsia="宋体"/>
        </w:rPr>
        <w:tab/>
      </w:r>
      <w:r>
        <w:rPr>
          <w:rFonts w:eastAsia="宋体"/>
        </w:rPr>
        <w:fldChar w:fldCharType="begin"/>
      </w:r>
      <w:r>
        <w:rPr>
          <w:rFonts w:eastAsia="宋体"/>
        </w:rPr>
        <w:instrText xml:space="preserve"> PAGEREF _Toc138949360 \h </w:instrText>
      </w:r>
      <w:r>
        <w:rPr>
          <w:rFonts w:eastAsia="宋体"/>
        </w:rPr>
        <w:fldChar w:fldCharType="separate"/>
      </w:r>
      <w:r>
        <w:rPr>
          <w:rFonts w:eastAsia="宋体"/>
        </w:rPr>
        <w:t>81</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"_Toc138949361" </w:instrText>
      </w:r>
      <w:r>
        <w:fldChar w:fldCharType="separate"/>
      </w:r>
      <w:r>
        <w:rPr>
          <w:rStyle w:val="26"/>
          <w:rFonts w:ascii="宋体" w:hAnsi="宋体" w:eastAsia="宋体" w:cs="宋体"/>
          <w:kern w:val="0"/>
        </w:rPr>
        <w:t>（二）深圳市坪山区服务业高质量发展资金支持措施</w:t>
      </w:r>
      <w:r>
        <w:rPr>
          <w:rFonts w:eastAsia="宋体"/>
        </w:rPr>
        <w:tab/>
      </w:r>
      <w:r>
        <w:rPr>
          <w:rFonts w:eastAsia="宋体"/>
        </w:rPr>
        <w:fldChar w:fldCharType="begin"/>
      </w:r>
      <w:r>
        <w:rPr>
          <w:rFonts w:eastAsia="宋体"/>
        </w:rPr>
        <w:instrText xml:space="preserve"> PAGEREF _Toc138949361 \h </w:instrText>
      </w:r>
      <w:r>
        <w:rPr>
          <w:rFonts w:eastAsia="宋体"/>
        </w:rPr>
        <w:fldChar w:fldCharType="separate"/>
      </w:r>
      <w:r>
        <w:rPr>
          <w:rFonts w:eastAsia="宋体"/>
        </w:rPr>
        <w:t>87</w:t>
      </w:r>
      <w:r>
        <w:rPr>
          <w:rFonts w:eastAsia="宋体"/>
        </w:rPr>
        <w:fldChar w:fldCharType="end"/>
      </w:r>
      <w:r>
        <w:rPr>
          <w:rFonts w:eastAsia="宋体"/>
        </w:rPr>
        <w:fldChar w:fldCharType="end"/>
      </w:r>
    </w:p>
    <w:p>
      <w:pPr>
        <w:pStyle w:val="17"/>
        <w:tabs>
          <w:tab w:val="right" w:leader="dot" w:pos="8296"/>
        </w:tabs>
        <w:rPr>
          <w:rFonts w:eastAsia="宋体" w:asciiTheme="minorHAnsi" w:hAnsiTheme="minorHAnsi" w:cstheme="minorBidi"/>
          <w:b w:val="0"/>
          <w:sz w:val="21"/>
          <w14:ligatures w14:val="standardContextual"/>
        </w:rPr>
      </w:pPr>
      <w:r>
        <w:fldChar w:fldCharType="begin"/>
      </w:r>
      <w:r>
        <w:instrText xml:space="preserve"> HYPERLINK \l "_Toc138949362" </w:instrText>
      </w:r>
      <w:r>
        <w:fldChar w:fldCharType="separate"/>
      </w:r>
      <w:r>
        <w:rPr>
          <w:rStyle w:val="26"/>
          <w:rFonts w:ascii="微软雅黑" w:hAnsi="微软雅黑" w:eastAsia="宋体" w:cs="宋体"/>
          <w:kern w:val="0"/>
        </w:rPr>
        <w:t>第六部分 坪山区经济发展专项资金资助项目申报资料模板</w:t>
      </w:r>
      <w:r>
        <w:rPr>
          <w:rFonts w:eastAsia="宋体"/>
        </w:rPr>
        <w:tab/>
      </w:r>
      <w:r>
        <w:rPr>
          <w:rFonts w:eastAsia="宋体"/>
        </w:rPr>
        <w:fldChar w:fldCharType="begin"/>
      </w:r>
      <w:r>
        <w:rPr>
          <w:rFonts w:eastAsia="宋体"/>
        </w:rPr>
        <w:instrText xml:space="preserve"> PAGEREF _Toc138949362 \h </w:instrText>
      </w:r>
      <w:r>
        <w:rPr>
          <w:rFonts w:eastAsia="宋体"/>
        </w:rPr>
        <w:fldChar w:fldCharType="separate"/>
      </w:r>
      <w:r>
        <w:rPr>
          <w:rFonts w:eastAsia="宋体"/>
        </w:rPr>
        <w:t>97</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"_Toc138949363" </w:instrText>
      </w:r>
      <w:r>
        <w:fldChar w:fldCharType="separate"/>
      </w:r>
      <w:r>
        <w:rPr>
          <w:rStyle w:val="26"/>
          <w:rFonts w:ascii="宋体" w:hAnsi="宋体" w:eastAsia="宋体" w:cs="宋体"/>
          <w:kern w:val="0"/>
        </w:rPr>
        <w:t>（一）项目实施情况可行性研究报告提纲</w:t>
      </w:r>
      <w:r>
        <w:rPr>
          <w:rFonts w:eastAsia="宋体"/>
        </w:rPr>
        <w:tab/>
      </w:r>
      <w:r>
        <w:rPr>
          <w:rFonts w:eastAsia="宋体"/>
        </w:rPr>
        <w:fldChar w:fldCharType="begin"/>
      </w:r>
      <w:r>
        <w:rPr>
          <w:rFonts w:eastAsia="宋体"/>
        </w:rPr>
        <w:instrText xml:space="preserve"> PAGEREF _Toc138949363 \h </w:instrText>
      </w:r>
      <w:r>
        <w:rPr>
          <w:rFonts w:eastAsia="宋体"/>
        </w:rPr>
        <w:fldChar w:fldCharType="separate"/>
      </w:r>
      <w:r>
        <w:rPr>
          <w:rFonts w:eastAsia="宋体"/>
        </w:rPr>
        <w:t>97</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"_Toc138949364" </w:instrText>
      </w:r>
      <w:r>
        <w:fldChar w:fldCharType="separate"/>
      </w:r>
      <w:r>
        <w:rPr>
          <w:rStyle w:val="26"/>
          <w:rFonts w:ascii="宋体" w:hAnsi="宋体" w:eastAsia="宋体" w:cs="宋体"/>
          <w:kern w:val="0"/>
        </w:rPr>
        <w:t>（二）项目专项审计报告提纲</w:t>
      </w:r>
      <w:r>
        <w:rPr>
          <w:rFonts w:eastAsia="宋体"/>
        </w:rPr>
        <w:tab/>
      </w:r>
      <w:r>
        <w:rPr>
          <w:rFonts w:eastAsia="宋体"/>
        </w:rPr>
        <w:fldChar w:fldCharType="begin"/>
      </w:r>
      <w:r>
        <w:rPr>
          <w:rFonts w:eastAsia="宋体"/>
        </w:rPr>
        <w:instrText xml:space="preserve"> PAGEREF _Toc138949364 \h </w:instrText>
      </w:r>
      <w:r>
        <w:rPr>
          <w:rFonts w:eastAsia="宋体"/>
        </w:rPr>
        <w:fldChar w:fldCharType="separate"/>
      </w:r>
      <w:r>
        <w:rPr>
          <w:rFonts w:eastAsia="宋体"/>
        </w:rPr>
        <w:t>98</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"_Toc138949365" </w:instrText>
      </w:r>
      <w:r>
        <w:fldChar w:fldCharType="separate"/>
      </w:r>
      <w:r>
        <w:rPr>
          <w:rStyle w:val="26"/>
          <w:rFonts w:ascii="宋体" w:hAnsi="宋体" w:eastAsia="宋体" w:cs="宋体"/>
          <w:kern w:val="0"/>
        </w:rPr>
        <w:t>（三）承诺函（通用版）</w:t>
      </w:r>
      <w:r>
        <w:rPr>
          <w:rFonts w:eastAsia="宋体"/>
        </w:rPr>
        <w:tab/>
      </w:r>
      <w:r>
        <w:rPr>
          <w:rFonts w:eastAsia="宋体"/>
        </w:rPr>
        <w:fldChar w:fldCharType="begin"/>
      </w:r>
      <w:r>
        <w:rPr>
          <w:rFonts w:eastAsia="宋体"/>
        </w:rPr>
        <w:instrText xml:space="preserve"> PAGEREF _Toc138949365 \h </w:instrText>
      </w:r>
      <w:r>
        <w:rPr>
          <w:rFonts w:eastAsia="宋体"/>
        </w:rPr>
        <w:fldChar w:fldCharType="separate"/>
      </w:r>
      <w:r>
        <w:rPr>
          <w:rFonts w:eastAsia="宋体"/>
        </w:rPr>
        <w:t>102</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"_Toc138949366" </w:instrText>
      </w:r>
      <w:r>
        <w:fldChar w:fldCharType="separate"/>
      </w:r>
      <w:r>
        <w:rPr>
          <w:rStyle w:val="26"/>
          <w:rFonts w:ascii="宋体" w:hAnsi="宋体" w:eastAsia="宋体" w:cs="宋体"/>
          <w:kern w:val="0"/>
        </w:rPr>
        <w:t>（四）承诺函（申请个人奖励项目专用）</w:t>
      </w:r>
      <w:r>
        <w:rPr>
          <w:rFonts w:eastAsia="宋体"/>
        </w:rPr>
        <w:tab/>
      </w:r>
      <w:r>
        <w:rPr>
          <w:rFonts w:eastAsia="宋体"/>
        </w:rPr>
        <w:fldChar w:fldCharType="begin"/>
      </w:r>
      <w:r>
        <w:rPr>
          <w:rFonts w:eastAsia="宋体"/>
        </w:rPr>
        <w:instrText xml:space="preserve"> PAGEREF _Toc138949366 \h </w:instrText>
      </w:r>
      <w:r>
        <w:rPr>
          <w:rFonts w:eastAsia="宋体"/>
        </w:rPr>
        <w:fldChar w:fldCharType="separate"/>
      </w:r>
      <w:r>
        <w:rPr>
          <w:rFonts w:eastAsia="宋体"/>
        </w:rPr>
        <w:t>104</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"_Toc138949367" </w:instrText>
      </w:r>
      <w:r>
        <w:fldChar w:fldCharType="separate"/>
      </w:r>
      <w:r>
        <w:rPr>
          <w:rStyle w:val="26"/>
          <w:rFonts w:ascii="宋体" w:hAnsi="宋体" w:eastAsia="宋体" w:cs="宋体"/>
          <w:kern w:val="0"/>
        </w:rPr>
        <w:t>（五）2022年查验费用明细表</w:t>
      </w:r>
      <w:r>
        <w:rPr>
          <w:rFonts w:eastAsia="宋体"/>
        </w:rPr>
        <w:tab/>
      </w:r>
      <w:r>
        <w:rPr>
          <w:rFonts w:eastAsia="宋体"/>
        </w:rPr>
        <w:fldChar w:fldCharType="begin"/>
      </w:r>
      <w:r>
        <w:rPr>
          <w:rFonts w:eastAsia="宋体"/>
        </w:rPr>
        <w:instrText xml:space="preserve"> PAGEREF _Toc138949367 \h </w:instrText>
      </w:r>
      <w:r>
        <w:rPr>
          <w:rFonts w:eastAsia="宋体"/>
        </w:rPr>
        <w:fldChar w:fldCharType="separate"/>
      </w:r>
      <w:r>
        <w:rPr>
          <w:rFonts w:eastAsia="宋体"/>
        </w:rPr>
        <w:t>105</w:t>
      </w:r>
      <w:r>
        <w:rPr>
          <w:rFonts w:eastAsia="宋体"/>
        </w:rPr>
        <w:fldChar w:fldCharType="end"/>
      </w:r>
      <w:r>
        <w:rPr>
          <w:rFonts w:eastAsia="宋体"/>
        </w:rPr>
        <w:fldChar w:fldCharType="end"/>
      </w:r>
    </w:p>
    <w:p>
      <w:pPr>
        <w:pStyle w:val="18"/>
        <w:tabs>
          <w:tab w:val="right" w:leader="dot" w:pos="8296"/>
        </w:tabs>
        <w:ind w:left="480"/>
        <w:rPr>
          <w:rFonts w:eastAsia="宋体" w:asciiTheme="minorHAnsi" w:hAnsiTheme="minorHAnsi" w:cstheme="minorBidi"/>
          <w:sz w:val="21"/>
          <w14:ligatures w14:val="standardContextual"/>
        </w:rPr>
      </w:pPr>
      <w:r>
        <w:fldChar w:fldCharType="begin"/>
      </w:r>
      <w:r>
        <w:instrText xml:space="preserve"> HYPERLINK \l "_Toc138949368" </w:instrText>
      </w:r>
      <w:r>
        <w:fldChar w:fldCharType="separate"/>
      </w:r>
      <w:r>
        <w:rPr>
          <w:rStyle w:val="26"/>
          <w:rFonts w:ascii="宋体" w:hAnsi="宋体" w:eastAsia="宋体" w:cs="宋体"/>
          <w:kern w:val="0"/>
        </w:rPr>
        <w:t>（六）租赁用房信息明细表</w:t>
      </w:r>
      <w:r>
        <w:rPr>
          <w:rFonts w:eastAsia="宋体"/>
        </w:rPr>
        <w:tab/>
      </w:r>
      <w:r>
        <w:rPr>
          <w:rFonts w:eastAsia="宋体"/>
        </w:rPr>
        <w:fldChar w:fldCharType="begin"/>
      </w:r>
      <w:r>
        <w:rPr>
          <w:rFonts w:eastAsia="宋体"/>
        </w:rPr>
        <w:instrText xml:space="preserve"> PAGEREF _Toc138949368 \h </w:instrText>
      </w:r>
      <w:r>
        <w:rPr>
          <w:rFonts w:eastAsia="宋体"/>
        </w:rPr>
        <w:fldChar w:fldCharType="separate"/>
      </w:r>
      <w:r>
        <w:rPr>
          <w:rFonts w:eastAsia="宋体"/>
        </w:rPr>
        <w:t>106</w:t>
      </w:r>
      <w:r>
        <w:rPr>
          <w:rFonts w:eastAsia="宋体"/>
        </w:rPr>
        <w:fldChar w:fldCharType="end"/>
      </w:r>
      <w:r>
        <w:rPr>
          <w:rFonts w:eastAsia="宋体"/>
        </w:rPr>
        <w:fldChar w:fldCharType="end"/>
      </w:r>
    </w:p>
    <w:p>
      <w:pPr>
        <w:pStyle w:val="18"/>
        <w:tabs>
          <w:tab w:val="right" w:leader="dot" w:pos="8296"/>
        </w:tabs>
        <w:ind w:left="480"/>
        <w:rPr>
          <w:rFonts w:asciiTheme="minorHAnsi" w:hAnsiTheme="minorHAnsi" w:eastAsiaTheme="minorEastAsia" w:cstheme="minorBidi"/>
          <w:sz w:val="21"/>
          <w14:ligatures w14:val="standardContextual"/>
        </w:rPr>
      </w:pPr>
      <w:r>
        <w:fldChar w:fldCharType="begin"/>
      </w:r>
      <w:r>
        <w:instrText xml:space="preserve"> HYPERLINK \l "_Toc138949369" </w:instrText>
      </w:r>
      <w:r>
        <w:fldChar w:fldCharType="separate"/>
      </w:r>
      <w:r>
        <w:rPr>
          <w:rStyle w:val="26"/>
          <w:rFonts w:ascii="宋体" w:hAnsi="宋体" w:eastAsia="宋体" w:cs="宋体"/>
          <w:kern w:val="0"/>
        </w:rPr>
        <w:t>（七）法律会计机构人才信息汇总表</w:t>
      </w:r>
      <w:r>
        <w:rPr>
          <w:rFonts w:eastAsia="宋体"/>
        </w:rPr>
        <w:tab/>
      </w:r>
      <w:r>
        <w:rPr>
          <w:rFonts w:eastAsia="宋体"/>
        </w:rPr>
        <w:fldChar w:fldCharType="begin"/>
      </w:r>
      <w:r>
        <w:rPr>
          <w:rFonts w:eastAsia="宋体"/>
        </w:rPr>
        <w:instrText xml:space="preserve"> PAGEREF _Toc138949369 \h </w:instrText>
      </w:r>
      <w:r>
        <w:rPr>
          <w:rFonts w:eastAsia="宋体"/>
        </w:rPr>
        <w:fldChar w:fldCharType="separate"/>
      </w:r>
      <w:r>
        <w:rPr>
          <w:rFonts w:eastAsia="宋体"/>
        </w:rPr>
        <w:t>107</w:t>
      </w:r>
      <w:r>
        <w:rPr>
          <w:rFonts w:eastAsia="宋体"/>
        </w:rPr>
        <w:fldChar w:fldCharType="end"/>
      </w:r>
      <w:r>
        <w:rPr>
          <w:rFonts w:eastAsia="宋体"/>
        </w:rPr>
        <w:fldChar w:fldCharType="end"/>
      </w:r>
    </w:p>
    <w:p>
      <w:pPr>
        <w:pStyle w:val="18"/>
        <w:tabs>
          <w:tab w:val="right" w:leader="dot" w:pos="8296"/>
        </w:tabs>
        <w:ind w:left="480"/>
      </w:pPr>
      <w:r>
        <w:rPr>
          <w:rFonts w:ascii="黑体" w:hAnsi="黑体" w:eastAsia="宋体" w:cs="黑体"/>
          <w:szCs w:val="24"/>
        </w:rPr>
        <w:fldChar w:fldCharType="end"/>
      </w:r>
    </w:p>
    <w:p>
      <w:pPr>
        <w:ind w:firstLine="0" w:firstLineChars="0"/>
        <w:sectPr>
          <w:footerReference r:id="rId11" w:type="default"/>
          <w:pgSz w:w="11906" w:h="16838"/>
          <w:pgMar w:top="1440" w:right="1800" w:bottom="1440" w:left="1800" w:header="851" w:footer="992" w:gutter="0"/>
          <w:pgNumType w:fmt="upperRoman" w:start="1"/>
          <w:cols w:space="425" w:num="1"/>
          <w:titlePg/>
          <w:docGrid w:type="lines" w:linePitch="326" w:charSpace="0"/>
        </w:sectPr>
      </w:pPr>
    </w:p>
    <w:p>
      <w:pPr>
        <w:pStyle w:val="4"/>
        <w:spacing w:line="360" w:lineRule="auto"/>
        <w:jc w:val="center"/>
        <w:rPr>
          <w:rFonts w:ascii="微软雅黑" w:hAnsi="微软雅黑" w:eastAsia="微软雅黑"/>
          <w:kern w:val="24"/>
          <w:sz w:val="40"/>
          <w:szCs w:val="11"/>
        </w:rPr>
      </w:pPr>
      <w:bookmarkStart w:id="0" w:name="_Toc74931540"/>
      <w:bookmarkStart w:id="1" w:name="_Toc29804"/>
      <w:bookmarkStart w:id="2" w:name="_Toc1387844769"/>
      <w:bookmarkStart w:id="3" w:name="_Toc683518440"/>
      <w:bookmarkStart w:id="4" w:name="_Toc138949319"/>
      <w:bookmarkStart w:id="5" w:name="_Toc67319110"/>
      <w:bookmarkStart w:id="6" w:name="_Toc130905460"/>
      <w:bookmarkStart w:id="7" w:name="_Toc698393284"/>
      <w:r>
        <w:rPr>
          <w:rFonts w:hint="eastAsia" w:ascii="微软雅黑" w:hAnsi="微软雅黑" w:eastAsia="微软雅黑"/>
          <w:kern w:val="24"/>
          <w:sz w:val="40"/>
          <w:szCs w:val="11"/>
        </w:rPr>
        <w:t>第一部分 经济发展专项资金资助项目申报与审核流程</w:t>
      </w:r>
      <w:bookmarkEnd w:id="0"/>
      <w:bookmarkEnd w:id="1"/>
      <w:bookmarkEnd w:id="2"/>
      <w:bookmarkEnd w:id="3"/>
      <w:bookmarkEnd w:id="4"/>
      <w:bookmarkEnd w:id="5"/>
      <w:bookmarkEnd w:id="6"/>
      <w:bookmarkEnd w:id="7"/>
    </w:p>
    <w:p>
      <w:pPr>
        <w:ind w:firstLine="0" w:firstLineChars="0"/>
        <w:jc w:val="center"/>
        <w:rPr>
          <w:b/>
          <w:spacing w:val="10"/>
          <w:szCs w:val="24"/>
        </w:rPr>
      </w:pPr>
      <w:r>
        <w:rPr>
          <w:rFonts w:hint="eastAsia"/>
          <w:b/>
          <w:spacing w:val="10"/>
          <w:szCs w:val="24"/>
        </w:rPr>
        <w:drawing>
          <wp:inline distT="0" distB="0" distL="114300" distR="114300">
            <wp:extent cx="5679440" cy="5845810"/>
            <wp:effectExtent l="0" t="0" r="16510" b="2540"/>
            <wp:docPr id="23" name="图片 23" descr="申报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申报流程"/>
                    <pic:cNvPicPr>
                      <a:picLocks noChangeAspect="1"/>
                    </pic:cNvPicPr>
                  </pic:nvPicPr>
                  <pic:blipFill>
                    <a:blip r:embed="rId32"/>
                    <a:stretch>
                      <a:fillRect/>
                    </a:stretch>
                  </pic:blipFill>
                  <pic:spPr>
                    <a:xfrm>
                      <a:off x="0" y="0"/>
                      <a:ext cx="5679440" cy="5845810"/>
                    </a:xfrm>
                    <a:prstGeom prst="rect">
                      <a:avLst/>
                    </a:prstGeom>
                  </pic:spPr>
                </pic:pic>
              </a:graphicData>
            </a:graphic>
          </wp:inline>
        </w:drawing>
      </w:r>
      <w:bookmarkStart w:id="8" w:name="_Toc520361584"/>
      <w:bookmarkStart w:id="9" w:name="_Toc4130"/>
      <w:bookmarkStart w:id="10" w:name="_Toc159799427"/>
      <w:bookmarkStart w:id="11" w:name="_Toc130905461"/>
      <w:bookmarkStart w:id="12" w:name="_Toc1713624181"/>
      <w:bookmarkStart w:id="13" w:name="_Toc74931541"/>
      <w:bookmarkStart w:id="14" w:name="_Toc555800801"/>
      <w:bookmarkStart w:id="15" w:name="_Toc72487836"/>
    </w:p>
    <w:p>
      <w:pPr>
        <w:pStyle w:val="2"/>
        <w:ind w:firstLine="240"/>
      </w:pPr>
    </w:p>
    <w:p>
      <w:pPr>
        <w:pStyle w:val="2"/>
        <w:ind w:firstLine="240"/>
      </w:pPr>
    </w:p>
    <w:p>
      <w:pPr>
        <w:pStyle w:val="2"/>
        <w:ind w:firstLine="240"/>
      </w:pPr>
    </w:p>
    <w:p>
      <w:pPr>
        <w:pStyle w:val="2"/>
        <w:ind w:firstLine="240"/>
      </w:pPr>
    </w:p>
    <w:p>
      <w:pPr>
        <w:ind w:firstLine="514"/>
        <w:rPr>
          <w:b/>
          <w:bCs/>
          <w:spacing w:val="8"/>
          <w:szCs w:val="24"/>
        </w:rPr>
      </w:pPr>
      <w:r>
        <w:rPr>
          <w:rFonts w:hint="eastAsia"/>
          <w:b/>
          <w:bCs/>
          <w:spacing w:val="8"/>
          <w:szCs w:val="24"/>
        </w:rPr>
        <w:t>其中，免申即享事项，企业只需在系统中确认申领意愿，无需提供申请材料，按以下流程办理。</w:t>
      </w:r>
    </w:p>
    <w:p>
      <w:pPr>
        <w:ind w:firstLine="482"/>
        <w:rPr>
          <w:b/>
          <w:bCs/>
          <w:spacing w:val="8"/>
          <w:szCs w:val="24"/>
        </w:rPr>
      </w:pPr>
      <w:r>
        <w:rPr>
          <w:rFonts w:ascii="宋体" w:hAnsi="宋体" w:cs="方正小标宋简体"/>
          <w:b/>
          <w:bCs/>
          <w:szCs w:val="24"/>
        </w:rPr>
        <w:drawing>
          <wp:inline distT="0" distB="0" distL="114300" distR="114300">
            <wp:extent cx="5674995" cy="4725670"/>
            <wp:effectExtent l="0" t="0" r="1905" b="17780"/>
            <wp:docPr id="51" name="图片 27" descr="免申即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7" descr="免申即享"/>
                    <pic:cNvPicPr>
                      <a:picLocks noChangeAspect="1"/>
                    </pic:cNvPicPr>
                  </pic:nvPicPr>
                  <pic:blipFill>
                    <a:blip r:embed="rId33"/>
                    <a:stretch>
                      <a:fillRect/>
                    </a:stretch>
                  </pic:blipFill>
                  <pic:spPr>
                    <a:xfrm>
                      <a:off x="0" y="0"/>
                      <a:ext cx="5674995" cy="4725670"/>
                    </a:xfrm>
                    <a:prstGeom prst="rect">
                      <a:avLst/>
                    </a:prstGeom>
                    <a:noFill/>
                    <a:ln>
                      <a:noFill/>
                    </a:ln>
                  </pic:spPr>
                </pic:pic>
              </a:graphicData>
            </a:graphic>
          </wp:inline>
        </w:drawing>
      </w:r>
    </w:p>
    <w:p>
      <w:pPr>
        <w:pStyle w:val="3"/>
        <w:adjustRightInd w:val="0"/>
        <w:snapToGrid w:val="0"/>
        <w:spacing w:line="360" w:lineRule="auto"/>
        <w:ind w:firstLine="480"/>
      </w:pPr>
    </w:p>
    <w:p>
      <w:pPr>
        <w:pStyle w:val="2"/>
        <w:ind w:firstLine="241"/>
      </w:pPr>
      <w:r>
        <w:rPr>
          <w:rFonts w:ascii="宋体" w:hAnsi="宋体" w:cs="方正小标宋简体"/>
          <w:b/>
          <w:bCs/>
          <w:szCs w:val="24"/>
        </w:rPr>
        <w:drawing>
          <wp:inline distT="0" distB="0" distL="114300" distR="114300">
            <wp:extent cx="5674995" cy="4725670"/>
            <wp:effectExtent l="0" t="0" r="1905" b="17780"/>
            <wp:docPr id="49" name="图片 25" descr="免申即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5" descr="免申即享"/>
                    <pic:cNvPicPr>
                      <a:picLocks noChangeAspect="1"/>
                    </pic:cNvPicPr>
                  </pic:nvPicPr>
                  <pic:blipFill>
                    <a:blip r:embed="rId33"/>
                    <a:stretch>
                      <a:fillRect/>
                    </a:stretch>
                  </pic:blipFill>
                  <pic:spPr>
                    <a:xfrm>
                      <a:off x="0" y="0"/>
                      <a:ext cx="5674995" cy="4725670"/>
                    </a:xfrm>
                    <a:prstGeom prst="rect">
                      <a:avLst/>
                    </a:prstGeom>
                    <a:noFill/>
                    <a:ln>
                      <a:noFill/>
                    </a:ln>
                  </pic:spPr>
                </pic:pic>
              </a:graphicData>
            </a:graphic>
          </wp:inline>
        </w:drawing>
      </w:r>
    </w:p>
    <w:p>
      <w:pPr>
        <w:pStyle w:val="2"/>
        <w:ind w:firstLine="241"/>
      </w:pPr>
      <w:r>
        <w:rPr>
          <w:rFonts w:ascii="宋体" w:hAnsi="宋体" w:cs="方正小标宋简体"/>
          <w:b/>
          <w:bCs/>
          <w:szCs w:val="24"/>
        </w:rPr>
        <w:drawing>
          <wp:inline distT="0" distB="0" distL="114300" distR="114300">
            <wp:extent cx="5674995" cy="4725670"/>
            <wp:effectExtent l="0" t="0" r="1905" b="17780"/>
            <wp:docPr id="50" name="图片 26" descr="免申即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6" descr="免申即享"/>
                    <pic:cNvPicPr>
                      <a:picLocks noChangeAspect="1"/>
                    </pic:cNvPicPr>
                  </pic:nvPicPr>
                  <pic:blipFill>
                    <a:blip r:embed="rId33"/>
                    <a:stretch>
                      <a:fillRect/>
                    </a:stretch>
                  </pic:blipFill>
                  <pic:spPr>
                    <a:xfrm>
                      <a:off x="0" y="0"/>
                      <a:ext cx="5674995" cy="4725670"/>
                    </a:xfrm>
                    <a:prstGeom prst="rect">
                      <a:avLst/>
                    </a:prstGeom>
                    <a:noFill/>
                    <a:ln>
                      <a:noFill/>
                    </a:ln>
                  </pic:spPr>
                </pic:pic>
              </a:graphicData>
            </a:graphic>
          </wp:inline>
        </w:drawing>
      </w:r>
    </w:p>
    <w:p>
      <w:pPr>
        <w:pStyle w:val="2"/>
        <w:ind w:firstLine="240"/>
      </w:pPr>
    </w:p>
    <w:p>
      <w:pPr>
        <w:pStyle w:val="2"/>
        <w:ind w:firstLine="0" w:firstLineChars="0"/>
      </w:pPr>
    </w:p>
    <w:p>
      <w:pPr>
        <w:pStyle w:val="2"/>
        <w:ind w:firstLine="0" w:firstLineChars="0"/>
      </w:pPr>
    </w:p>
    <w:p>
      <w:pPr>
        <w:pStyle w:val="2"/>
        <w:ind w:firstLine="0" w:firstLineChars="0"/>
      </w:pPr>
    </w:p>
    <w:p>
      <w:pPr>
        <w:pStyle w:val="4"/>
        <w:spacing w:line="360" w:lineRule="auto"/>
        <w:jc w:val="center"/>
        <w:rPr>
          <w:b w:val="0"/>
          <w:spacing w:val="10"/>
          <w:sz w:val="24"/>
          <w:szCs w:val="24"/>
        </w:rPr>
      </w:pPr>
      <w:bookmarkStart w:id="16" w:name="_Toc138949320"/>
      <w:r>
        <w:rPr>
          <w:rFonts w:hint="eastAsia" w:ascii="微软雅黑" w:hAnsi="微软雅黑" w:eastAsia="微软雅黑"/>
          <w:kern w:val="24"/>
          <w:sz w:val="40"/>
          <w:szCs w:val="11"/>
        </w:rPr>
        <w:t>第二部分 经济发展专项资金资助项目申报说明</w:t>
      </w:r>
      <w:bookmarkEnd w:id="8"/>
      <w:bookmarkEnd w:id="9"/>
      <w:bookmarkEnd w:id="10"/>
      <w:bookmarkEnd w:id="11"/>
      <w:bookmarkEnd w:id="12"/>
      <w:bookmarkEnd w:id="13"/>
      <w:bookmarkEnd w:id="14"/>
      <w:bookmarkEnd w:id="15"/>
      <w:bookmarkEnd w:id="16"/>
    </w:p>
    <w:p>
      <w:pPr>
        <w:numPr>
          <w:ilvl w:val="0"/>
          <w:numId w:val="2"/>
        </w:numPr>
        <w:ind w:firstLine="522"/>
        <w:jc w:val="left"/>
        <w:rPr>
          <w:rFonts w:ascii="宋体" w:hAnsi="宋体"/>
          <w:b/>
          <w:spacing w:val="10"/>
          <w:szCs w:val="24"/>
        </w:rPr>
      </w:pPr>
      <w:r>
        <w:rPr>
          <w:rFonts w:hint="eastAsia" w:ascii="宋体" w:hAnsi="宋体"/>
          <w:b/>
          <w:spacing w:val="10"/>
          <w:szCs w:val="24"/>
        </w:rPr>
        <w:t>受理机关</w:t>
      </w:r>
    </w:p>
    <w:p>
      <w:pPr>
        <w:ind w:firstLine="512"/>
        <w:jc w:val="left"/>
        <w:rPr>
          <w:spacing w:val="8"/>
          <w:szCs w:val="24"/>
        </w:rPr>
      </w:pPr>
      <w:r>
        <w:rPr>
          <w:rFonts w:hint="eastAsia"/>
          <w:spacing w:val="8"/>
          <w:szCs w:val="24"/>
        </w:rPr>
        <w:t>深圳市坪山区工业和信息化局（商务局、金融工作局）</w:t>
      </w:r>
    </w:p>
    <w:p>
      <w:pPr>
        <w:numPr>
          <w:ilvl w:val="0"/>
          <w:numId w:val="2"/>
        </w:numPr>
        <w:ind w:firstLine="514"/>
        <w:rPr>
          <w:rFonts w:ascii="宋体" w:hAnsi="宋体"/>
          <w:b/>
          <w:bCs/>
          <w:spacing w:val="8"/>
          <w:szCs w:val="24"/>
        </w:rPr>
      </w:pPr>
      <w:r>
        <w:rPr>
          <w:rFonts w:hint="eastAsia" w:ascii="宋体" w:hAnsi="宋体"/>
          <w:b/>
          <w:bCs/>
          <w:spacing w:val="8"/>
          <w:szCs w:val="24"/>
        </w:rPr>
        <w:t>受理方式</w:t>
      </w:r>
    </w:p>
    <w:p>
      <w:pPr>
        <w:ind w:firstLine="512"/>
        <w:rPr>
          <w:spacing w:val="8"/>
          <w:szCs w:val="24"/>
        </w:rPr>
      </w:pPr>
      <w:r>
        <w:rPr>
          <w:rFonts w:hint="eastAsia"/>
          <w:spacing w:val="8"/>
          <w:szCs w:val="24"/>
        </w:rPr>
        <w:t>网络申报与书面受理相结合。</w:t>
      </w:r>
    </w:p>
    <w:p>
      <w:pPr>
        <w:pStyle w:val="3"/>
        <w:spacing w:line="360" w:lineRule="auto"/>
        <w:ind w:left="480" w:leftChars="200" w:firstLine="0" w:firstLineChars="0"/>
        <w:rPr>
          <w:rStyle w:val="26"/>
          <w:rFonts w:ascii="Times New Roman" w:eastAsia="宋体"/>
          <w:spacing w:val="8"/>
          <w:szCs w:val="24"/>
        </w:rPr>
      </w:pPr>
      <w:r>
        <w:rPr>
          <w:rFonts w:hint="eastAsia" w:ascii="Times New Roman" w:eastAsia="宋体"/>
          <w:spacing w:val="8"/>
          <w:szCs w:val="24"/>
        </w:rPr>
        <w:t>网络申报系统网址：</w:t>
      </w:r>
    </w:p>
    <w:p>
      <w:pPr>
        <w:pStyle w:val="3"/>
        <w:spacing w:line="360" w:lineRule="auto"/>
        <w:ind w:firstLine="512"/>
        <w:rPr>
          <w:rFonts w:ascii="Times New Roman" w:eastAsia="宋体"/>
          <w:spacing w:val="8"/>
          <w:szCs w:val="24"/>
        </w:rPr>
      </w:pPr>
      <w:r>
        <w:rPr>
          <w:rFonts w:hint="eastAsia" w:ascii="Times New Roman" w:eastAsia="宋体"/>
          <w:spacing w:val="8"/>
          <w:szCs w:val="24"/>
        </w:rPr>
        <w:t>（深圳市坪山区科技创新和经济发展专项资金申报平台</w:t>
      </w:r>
      <w:r>
        <w:rPr>
          <w:rFonts w:hint="eastAsia" w:ascii="Times New Roman" w:eastAsia="宋体"/>
          <w:spacing w:val="8"/>
          <w:szCs w:val="24"/>
          <w:lang w:eastAsia="zh-CN"/>
        </w:rPr>
        <w:t>。注：网络申报受理已截止。</w:t>
      </w:r>
      <w:r>
        <w:rPr>
          <w:rFonts w:hint="eastAsia" w:ascii="Times New Roman" w:eastAsia="宋体"/>
          <w:spacing w:val="8"/>
          <w:szCs w:val="24"/>
        </w:rPr>
        <w:t>）</w:t>
      </w:r>
    </w:p>
    <w:p>
      <w:pPr>
        <w:pStyle w:val="3"/>
        <w:numPr>
          <w:ilvl w:val="0"/>
          <w:numId w:val="3"/>
        </w:numPr>
        <w:spacing w:line="360" w:lineRule="auto"/>
        <w:ind w:firstLine="514"/>
        <w:rPr>
          <w:rFonts w:ascii="宋体" w:hAnsi="宋体" w:eastAsia="宋体"/>
          <w:spacing w:val="8"/>
          <w:szCs w:val="24"/>
        </w:rPr>
      </w:pPr>
      <w:bookmarkStart w:id="17" w:name="_Hlk138663748"/>
      <w:r>
        <w:rPr>
          <w:rFonts w:hint="eastAsia" w:ascii="宋体" w:hAnsi="宋体" w:eastAsia="宋体"/>
          <w:b/>
          <w:bCs/>
          <w:spacing w:val="8"/>
          <w:szCs w:val="24"/>
        </w:rPr>
        <w:t>受理时间和地点</w:t>
      </w:r>
    </w:p>
    <w:p>
      <w:pPr>
        <w:ind w:firstLine="512"/>
        <w:rPr>
          <w:spacing w:val="8"/>
          <w:szCs w:val="24"/>
        </w:rPr>
      </w:pPr>
      <w:r>
        <w:rPr>
          <w:rFonts w:hint="eastAsia"/>
          <w:spacing w:val="8"/>
          <w:szCs w:val="24"/>
        </w:rPr>
        <w:t>1.网络申报受理时间：</w:t>
      </w:r>
      <w:r>
        <w:rPr>
          <w:spacing w:val="8"/>
          <w:szCs w:val="24"/>
        </w:rPr>
        <w:t>2023</w:t>
      </w:r>
      <w:r>
        <w:rPr>
          <w:rFonts w:hint="eastAsia"/>
          <w:spacing w:val="8"/>
          <w:szCs w:val="24"/>
        </w:rPr>
        <w:t>年</w:t>
      </w:r>
      <w:r>
        <w:rPr>
          <w:spacing w:val="8"/>
          <w:szCs w:val="24"/>
          <w:lang w:val="en"/>
        </w:rPr>
        <w:t>7</w:t>
      </w:r>
      <w:r>
        <w:rPr>
          <w:rFonts w:hint="eastAsia"/>
          <w:spacing w:val="8"/>
          <w:szCs w:val="24"/>
        </w:rPr>
        <w:t>月10日至8月4日（原则上超过网络申报受理的截止时间，不再受理新提交申报。网络申报受理截止前已在线提交申报，但后经形式审核被退回修改的，可于书面材料受理截止前再次提交修改后的材料进行形式审核，审核通过后方可按时向坪山区政务服务中心提交纸质申报材料）</w:t>
      </w:r>
    </w:p>
    <w:p>
      <w:pPr>
        <w:ind w:firstLine="512"/>
        <w:rPr>
          <w:spacing w:val="8"/>
          <w:szCs w:val="24"/>
        </w:rPr>
      </w:pPr>
      <w:r>
        <w:rPr>
          <w:rFonts w:hint="eastAsia"/>
          <w:spacing w:val="8"/>
          <w:szCs w:val="24"/>
        </w:rPr>
        <w:t>2.书面材料受理时间：</w:t>
      </w:r>
      <w:r>
        <w:rPr>
          <w:spacing w:val="8"/>
          <w:szCs w:val="24"/>
        </w:rPr>
        <w:t>2023</w:t>
      </w:r>
      <w:r>
        <w:rPr>
          <w:rFonts w:hint="eastAsia"/>
          <w:spacing w:val="8"/>
          <w:szCs w:val="24"/>
        </w:rPr>
        <w:t>年</w:t>
      </w:r>
      <w:r>
        <w:rPr>
          <w:spacing w:val="8"/>
          <w:szCs w:val="24"/>
        </w:rPr>
        <w:t>7</w:t>
      </w:r>
      <w:r>
        <w:rPr>
          <w:rFonts w:hint="eastAsia"/>
          <w:spacing w:val="8"/>
          <w:szCs w:val="24"/>
        </w:rPr>
        <w:t>月13日至8月9日</w:t>
      </w:r>
    </w:p>
    <w:p>
      <w:pPr>
        <w:ind w:firstLine="711" w:firstLineChars="278"/>
        <w:rPr>
          <w:spacing w:val="8"/>
          <w:szCs w:val="24"/>
        </w:rPr>
      </w:pPr>
      <w:r>
        <w:rPr>
          <w:rFonts w:hint="eastAsia"/>
          <w:spacing w:val="8"/>
          <w:szCs w:val="24"/>
        </w:rPr>
        <w:t>书面材料受理地点：深圳市坪山区金牛西路1</w:t>
      </w:r>
      <w:r>
        <w:rPr>
          <w:spacing w:val="8"/>
          <w:szCs w:val="24"/>
        </w:rPr>
        <w:t>2</w:t>
      </w:r>
      <w:r>
        <w:rPr>
          <w:rFonts w:hint="eastAsia"/>
          <w:spacing w:val="8"/>
          <w:szCs w:val="24"/>
        </w:rPr>
        <w:t>号坪山区政务服务中心一楼2</w:t>
      </w:r>
      <w:r>
        <w:rPr>
          <w:spacing w:val="8"/>
          <w:szCs w:val="24"/>
        </w:rPr>
        <w:t>5</w:t>
      </w:r>
      <w:r>
        <w:rPr>
          <w:rFonts w:hint="eastAsia"/>
          <w:spacing w:val="8"/>
          <w:szCs w:val="24"/>
        </w:rPr>
        <w:t>号窗口</w:t>
      </w:r>
    </w:p>
    <w:p>
      <w:pPr>
        <w:ind w:firstLine="514"/>
        <w:rPr>
          <w:rFonts w:ascii="宋体" w:hAnsi="宋体"/>
          <w:b/>
          <w:bCs/>
          <w:spacing w:val="8"/>
          <w:szCs w:val="24"/>
        </w:rPr>
      </w:pPr>
      <w:r>
        <w:rPr>
          <w:rFonts w:hint="eastAsia" w:ascii="宋体" w:hAnsi="宋体"/>
          <w:b/>
          <w:bCs/>
          <w:spacing w:val="8"/>
          <w:szCs w:val="24"/>
        </w:rPr>
        <w:t>四、咨询方式</w:t>
      </w:r>
    </w:p>
    <w:bookmarkEnd w:id="17"/>
    <w:p>
      <w:pPr>
        <w:ind w:firstLine="512"/>
        <w:rPr>
          <w:spacing w:val="8"/>
          <w:szCs w:val="24"/>
        </w:rPr>
      </w:pPr>
      <w:r>
        <w:rPr>
          <w:rFonts w:hint="eastAsia"/>
          <w:spacing w:val="8"/>
          <w:szCs w:val="24"/>
        </w:rPr>
        <w:t>咨询电话：</w:t>
      </w:r>
      <w:r>
        <w:rPr>
          <w:spacing w:val="8"/>
          <w:szCs w:val="24"/>
        </w:rPr>
        <w:t>28226097</w:t>
      </w:r>
      <w:r>
        <w:rPr>
          <w:rFonts w:hint="eastAsia"/>
          <w:spacing w:val="8"/>
          <w:szCs w:val="24"/>
        </w:rPr>
        <w:t>、</w:t>
      </w:r>
      <w:r>
        <w:rPr>
          <w:spacing w:val="8"/>
          <w:szCs w:val="24"/>
        </w:rPr>
        <w:t>89364853</w:t>
      </w:r>
    </w:p>
    <w:p>
      <w:pPr>
        <w:ind w:firstLine="512"/>
        <w:rPr>
          <w:spacing w:val="8"/>
          <w:szCs w:val="21"/>
        </w:rPr>
      </w:pPr>
      <w:r>
        <w:rPr>
          <w:rFonts w:hint="eastAsia"/>
          <w:spacing w:val="8"/>
          <w:szCs w:val="24"/>
        </w:rPr>
        <w:t>书面材料受理电话：18688830260</w:t>
      </w:r>
      <w:r>
        <w:rPr>
          <w:rFonts w:hint="eastAsia" w:ascii="宋体" w:hAnsi="宋体" w:cs="宋体"/>
          <w:szCs w:val="24"/>
        </w:rPr>
        <w:t>（书面材料受理期间使用）</w:t>
      </w:r>
    </w:p>
    <w:p>
      <w:pPr>
        <w:ind w:firstLine="512"/>
        <w:rPr>
          <w:spacing w:val="8"/>
          <w:szCs w:val="24"/>
        </w:rPr>
      </w:pPr>
      <w:r>
        <w:rPr>
          <w:rFonts w:hint="eastAsia"/>
          <w:spacing w:val="8"/>
          <w:szCs w:val="24"/>
        </w:rPr>
        <w:t>申报系统技术支持电话：84283800，13530383317</w:t>
      </w:r>
    </w:p>
    <w:p>
      <w:pPr>
        <w:pStyle w:val="3"/>
        <w:spacing w:line="360" w:lineRule="auto"/>
        <w:ind w:firstLine="512"/>
        <w:rPr>
          <w:rFonts w:ascii="Times New Roman" w:eastAsia="宋体"/>
          <w:spacing w:val="8"/>
          <w:szCs w:val="24"/>
        </w:rPr>
      </w:pPr>
      <w:r>
        <w:rPr>
          <w:rFonts w:hint="eastAsia" w:ascii="Times New Roman" w:eastAsia="宋体"/>
          <w:spacing w:val="8"/>
          <w:szCs w:val="24"/>
        </w:rPr>
        <w:t>咨询期间，由于咨询电话繁忙，建议通过微信群进行咨询。</w:t>
      </w:r>
    </w:p>
    <w:p>
      <w:pPr>
        <w:ind w:firstLine="522"/>
        <w:jc w:val="left"/>
        <w:rPr>
          <w:b/>
          <w:spacing w:val="10"/>
          <w:szCs w:val="24"/>
        </w:rPr>
      </w:pPr>
      <w:r>
        <w:rPr>
          <w:rFonts w:hint="eastAsia"/>
          <w:b/>
          <w:spacing w:val="10"/>
          <w:szCs w:val="24"/>
        </w:rPr>
        <w:t>五、受理材料要求</w:t>
      </w:r>
    </w:p>
    <w:p>
      <w:pPr>
        <w:ind w:firstLine="512"/>
        <w:rPr>
          <w:spacing w:val="8"/>
          <w:szCs w:val="24"/>
        </w:rPr>
      </w:pPr>
      <w:r>
        <w:rPr>
          <w:rFonts w:hint="eastAsia"/>
          <w:spacing w:val="8"/>
          <w:szCs w:val="24"/>
        </w:rPr>
        <w:t>1.申报单位应保证其申报材料的完整性、真实性、准确性及合法性，并承担所提交的项目申报材料的相关法律责任，如有虚假或侵权等行为，该项目申报无效，如事后发现存在以上行为，本资金主管部门将保留依法追究其法律责任的权利。</w:t>
      </w:r>
    </w:p>
    <w:p>
      <w:pPr>
        <w:ind w:firstLine="512"/>
        <w:rPr>
          <w:spacing w:val="8"/>
          <w:szCs w:val="24"/>
        </w:rPr>
      </w:pPr>
      <w:r>
        <w:rPr>
          <w:rFonts w:hint="eastAsia"/>
          <w:spacing w:val="8"/>
          <w:szCs w:val="24"/>
        </w:rPr>
        <w:t>2.申报单位名称变更的应于申报专项资金时主动提交相关证明材料，因未提交材料导致相关数据难以查询的，不予补贴。</w:t>
      </w:r>
    </w:p>
    <w:p>
      <w:pPr>
        <w:ind w:firstLine="512"/>
        <w:rPr>
          <w:spacing w:val="8"/>
          <w:szCs w:val="24"/>
        </w:rPr>
      </w:pPr>
      <w:r>
        <w:rPr>
          <w:rFonts w:hint="eastAsia"/>
          <w:spacing w:val="8"/>
          <w:szCs w:val="24"/>
        </w:rPr>
        <w:t>3.申报单位提交的具体申报材料详见申报指南中申报项目所需材料清单。</w:t>
      </w:r>
    </w:p>
    <w:p>
      <w:pPr>
        <w:ind w:firstLine="512"/>
        <w:rPr>
          <w:spacing w:val="8"/>
          <w:szCs w:val="24"/>
        </w:rPr>
      </w:pPr>
      <w:r>
        <w:rPr>
          <w:rFonts w:hint="eastAsia"/>
          <w:spacing w:val="8"/>
          <w:szCs w:val="24"/>
        </w:rPr>
        <w:t>4.所有申报材料一式两份，</w:t>
      </w:r>
      <w:r>
        <w:rPr>
          <w:spacing w:val="8"/>
          <w:szCs w:val="24"/>
        </w:rPr>
        <w:t>A4</w:t>
      </w:r>
      <w:r>
        <w:rPr>
          <w:rFonts w:hint="eastAsia"/>
          <w:spacing w:val="8"/>
          <w:szCs w:val="24"/>
        </w:rPr>
        <w:t>纸双面打印</w:t>
      </w:r>
      <w:r>
        <w:rPr>
          <w:spacing w:val="8"/>
          <w:szCs w:val="24"/>
          <w:lang w:val="en"/>
        </w:rPr>
        <w:t>（复印）</w:t>
      </w:r>
      <w:r>
        <w:rPr>
          <w:rFonts w:hint="eastAsia"/>
          <w:spacing w:val="8"/>
          <w:szCs w:val="24"/>
        </w:rPr>
        <w:t>，编制目录和页码，胶装成册，每页需加盖单位公章，并加盖骑缝章。</w:t>
      </w:r>
    </w:p>
    <w:p>
      <w:pPr>
        <w:ind w:firstLine="512"/>
        <w:rPr>
          <w:spacing w:val="8"/>
          <w:szCs w:val="24"/>
        </w:rPr>
      </w:pPr>
      <w:r>
        <w:rPr>
          <w:rFonts w:hint="eastAsia"/>
          <w:spacing w:val="8"/>
          <w:szCs w:val="24"/>
        </w:rPr>
        <w:t>5.申报项目所需材料清单中注明需查验原件的，请在书面材料受理时携带原件配合查验。</w:t>
      </w:r>
    </w:p>
    <w:p>
      <w:pPr>
        <w:ind w:firstLine="522"/>
        <w:rPr>
          <w:b/>
          <w:spacing w:val="10"/>
          <w:szCs w:val="24"/>
        </w:rPr>
      </w:pPr>
      <w:r>
        <w:rPr>
          <w:rFonts w:hint="eastAsia"/>
          <w:b/>
          <w:spacing w:val="10"/>
          <w:szCs w:val="24"/>
        </w:rPr>
        <w:t>六、注意事项</w:t>
      </w:r>
    </w:p>
    <w:p>
      <w:pPr>
        <w:adjustRightInd w:val="0"/>
        <w:snapToGrid w:val="0"/>
        <w:ind w:firstLine="512"/>
        <w:rPr>
          <w:spacing w:val="8"/>
          <w:szCs w:val="24"/>
        </w:rPr>
      </w:pPr>
      <w:r>
        <w:rPr>
          <w:rFonts w:hint="eastAsia"/>
          <w:spacing w:val="8"/>
          <w:szCs w:val="24"/>
        </w:rPr>
        <w:t>1.项目受理</w:t>
      </w:r>
      <w:r>
        <w:rPr>
          <w:spacing w:val="8"/>
          <w:szCs w:val="24"/>
        </w:rPr>
        <w:t>采取</w:t>
      </w:r>
      <w:r>
        <w:rPr>
          <w:rFonts w:hint="eastAsia"/>
          <w:spacing w:val="8"/>
          <w:szCs w:val="24"/>
        </w:rPr>
        <w:t>“</w:t>
      </w:r>
      <w:r>
        <w:rPr>
          <w:spacing w:val="8"/>
          <w:szCs w:val="24"/>
        </w:rPr>
        <w:t>分期核准、分期批复</w:t>
      </w:r>
      <w:r>
        <w:rPr>
          <w:rFonts w:hint="eastAsia"/>
          <w:spacing w:val="8"/>
          <w:szCs w:val="24"/>
        </w:rPr>
        <w:t>”</w:t>
      </w:r>
      <w:r>
        <w:rPr>
          <w:spacing w:val="8"/>
          <w:szCs w:val="24"/>
        </w:rPr>
        <w:t>的方式，本年度受理和审核上一年度</w:t>
      </w:r>
      <w:r>
        <w:rPr>
          <w:rFonts w:hint="eastAsia"/>
          <w:spacing w:val="8"/>
          <w:szCs w:val="24"/>
        </w:rPr>
        <w:t>的专项资金项目。</w:t>
      </w:r>
    </w:p>
    <w:p>
      <w:pPr>
        <w:adjustRightInd w:val="0"/>
        <w:snapToGrid w:val="0"/>
        <w:ind w:firstLine="512"/>
        <w:rPr>
          <w:spacing w:val="8"/>
          <w:szCs w:val="24"/>
        </w:rPr>
      </w:pPr>
      <w:r>
        <w:rPr>
          <w:rFonts w:hint="eastAsia"/>
          <w:spacing w:val="8"/>
          <w:szCs w:val="24"/>
        </w:rPr>
        <w:t>2.申报单位填报的企业产值须与报送区统计部门的数据保持一致；营业收入、销售额等生产经营指标，均须与报送区税务部门的数据保持一致；未达到纳统条件的企业，可不受统计地在坪山区的限制，填报的相关数据以本指南要求的材料为审核依据。</w:t>
      </w:r>
    </w:p>
    <w:p>
      <w:pPr>
        <w:ind w:firstLine="512"/>
        <w:rPr>
          <w:spacing w:val="8"/>
          <w:szCs w:val="24"/>
        </w:rPr>
      </w:pPr>
      <w:r>
        <w:rPr>
          <w:rFonts w:hint="eastAsia"/>
          <w:spacing w:val="8"/>
          <w:szCs w:val="24"/>
        </w:rPr>
        <w:t>3.服务业企业以相关部门界定为审核依据，其中，纳统企业以国家统计局统计联网直报平台的行业代码前两位在</w:t>
      </w:r>
      <w:r>
        <w:rPr>
          <w:spacing w:val="8"/>
          <w:szCs w:val="24"/>
        </w:rPr>
        <w:t>51</w:t>
      </w:r>
      <w:r>
        <w:rPr>
          <w:rFonts w:hint="eastAsia"/>
          <w:spacing w:val="8"/>
          <w:szCs w:val="24"/>
        </w:rPr>
        <w:t>到</w:t>
      </w:r>
      <w:r>
        <w:rPr>
          <w:spacing w:val="8"/>
          <w:szCs w:val="24"/>
        </w:rPr>
        <w:t>82</w:t>
      </w:r>
      <w:r>
        <w:rPr>
          <w:rFonts w:hint="eastAsia"/>
          <w:spacing w:val="8"/>
          <w:szCs w:val="24"/>
        </w:rPr>
        <w:t>之间为准，未纳统企业以企业所得税年度纳税申报表所属国民经济行业分类（行业代码前两位在</w:t>
      </w:r>
      <w:r>
        <w:rPr>
          <w:spacing w:val="8"/>
          <w:szCs w:val="24"/>
        </w:rPr>
        <w:t>51</w:t>
      </w:r>
      <w:r>
        <w:rPr>
          <w:rFonts w:hint="eastAsia"/>
          <w:spacing w:val="8"/>
          <w:szCs w:val="24"/>
        </w:rPr>
        <w:t>到</w:t>
      </w:r>
      <w:r>
        <w:rPr>
          <w:spacing w:val="8"/>
          <w:szCs w:val="24"/>
        </w:rPr>
        <w:t>82</w:t>
      </w:r>
      <w:r>
        <w:rPr>
          <w:rFonts w:hint="eastAsia"/>
          <w:spacing w:val="8"/>
          <w:szCs w:val="24"/>
        </w:rPr>
        <w:t>之间）为准。</w:t>
      </w:r>
    </w:p>
    <w:p>
      <w:pPr>
        <w:pStyle w:val="56"/>
        <w:numPr>
          <w:ilvl w:val="255"/>
          <w:numId w:val="0"/>
        </w:numPr>
        <w:adjustRightInd w:val="0"/>
        <w:snapToGrid w:val="0"/>
        <w:spacing w:line="360" w:lineRule="auto"/>
        <w:ind w:firstLine="512"/>
        <w:rPr>
          <w:spacing w:val="8"/>
          <w:sz w:val="24"/>
          <w:szCs w:val="24"/>
        </w:rPr>
      </w:pPr>
      <w:r>
        <w:rPr>
          <w:rFonts w:hint="eastAsia"/>
          <w:spacing w:val="8"/>
          <w:sz w:val="24"/>
          <w:szCs w:val="24"/>
        </w:rPr>
        <w:t>4.对单个企业的资助和奖励总额原则上不超过该企业上年度在坪山区财力贡献的60%，具体条款另有规定的除外。申报单位在坪山区的财力贡献以坪山区税务局核查的企业纳税额数据为审核依据。</w:t>
      </w:r>
    </w:p>
    <w:p>
      <w:pPr>
        <w:pStyle w:val="56"/>
        <w:numPr>
          <w:ilvl w:val="255"/>
          <w:numId w:val="0"/>
        </w:numPr>
        <w:adjustRightInd w:val="0"/>
        <w:snapToGrid w:val="0"/>
        <w:spacing w:line="360" w:lineRule="auto"/>
        <w:ind w:firstLine="512"/>
        <w:rPr>
          <w:spacing w:val="8"/>
          <w:sz w:val="24"/>
          <w:szCs w:val="24"/>
        </w:rPr>
      </w:pPr>
      <w:r>
        <w:rPr>
          <w:rFonts w:hint="eastAsia"/>
          <w:spacing w:val="8"/>
          <w:sz w:val="24"/>
          <w:szCs w:val="24"/>
        </w:rPr>
        <w:t>5.单个企业年度资助总额低于1万元的不予资助，专项资金政策中另有规定的除外。</w:t>
      </w:r>
    </w:p>
    <w:p>
      <w:pPr>
        <w:pStyle w:val="56"/>
        <w:numPr>
          <w:ilvl w:val="255"/>
          <w:numId w:val="0"/>
        </w:numPr>
        <w:adjustRightInd w:val="0"/>
        <w:snapToGrid w:val="0"/>
        <w:spacing w:line="360" w:lineRule="auto"/>
        <w:ind w:firstLine="512"/>
        <w:rPr>
          <w:spacing w:val="8"/>
          <w:sz w:val="24"/>
          <w:szCs w:val="24"/>
        </w:rPr>
      </w:pPr>
      <w:r>
        <w:rPr>
          <w:rFonts w:hint="eastAsia"/>
          <w:spacing w:val="8"/>
          <w:sz w:val="24"/>
          <w:szCs w:val="24"/>
        </w:rPr>
        <w:t>6.严重失信主体名单以坪山区委政法委信用数据库核查的被列入全国范围内实施的严重失信主体名单为审核依据。“被司法机关认定存在行贿行为，且被列入坪山区不良经营主体名单并在影响期内的”以坪山区行贿（送礼）联合惩戒信息查询系统为审核依据。</w:t>
      </w:r>
    </w:p>
    <w:p>
      <w:pPr>
        <w:pStyle w:val="56"/>
        <w:adjustRightInd w:val="0"/>
        <w:snapToGrid w:val="0"/>
        <w:spacing w:line="360" w:lineRule="auto"/>
        <w:ind w:firstLine="512"/>
        <w:rPr>
          <w:spacing w:val="8"/>
          <w:sz w:val="24"/>
          <w:szCs w:val="24"/>
        </w:rPr>
      </w:pPr>
      <w:r>
        <w:rPr>
          <w:rFonts w:hint="eastAsia"/>
          <w:spacing w:val="8"/>
          <w:sz w:val="24"/>
          <w:szCs w:val="24"/>
        </w:rPr>
        <w:t>7.经济发展专项资金实行总额控制，年度拟资助金额超出年度财政预算安排的，按资助项目占比进行等比例核减。未通过当年资格审核、未获得相应资助的企业，如有异议，可在专项资金拟资助计划公示期间向区工业和信息化局提出申诉，区工业和信息化局将组织核查，经核实企业符合条件的，将于当年或第二年补发资助资金。</w:t>
      </w:r>
    </w:p>
    <w:p>
      <w:pPr>
        <w:pStyle w:val="56"/>
        <w:adjustRightInd w:val="0"/>
        <w:snapToGrid w:val="0"/>
        <w:spacing w:line="360" w:lineRule="auto"/>
        <w:ind w:firstLine="512"/>
        <w:rPr>
          <w:spacing w:val="8"/>
          <w:sz w:val="24"/>
          <w:szCs w:val="24"/>
        </w:rPr>
      </w:pPr>
      <w:r>
        <w:rPr>
          <w:rFonts w:hint="eastAsia"/>
          <w:spacing w:val="8"/>
          <w:sz w:val="24"/>
          <w:szCs w:val="24"/>
        </w:rPr>
        <w:t>8.同一主体的同一事项按照“就高不重复”原则予以资助。已经资助过的项目不得重复申报；同一单位内容相同或部分相同的项目不得向坪山区有关部门多头申报。</w:t>
      </w:r>
    </w:p>
    <w:p>
      <w:pPr>
        <w:pStyle w:val="56"/>
        <w:adjustRightInd w:val="0"/>
        <w:snapToGrid w:val="0"/>
        <w:spacing w:line="360" w:lineRule="auto"/>
        <w:ind w:firstLine="512"/>
        <w:rPr>
          <w:spacing w:val="8"/>
          <w:sz w:val="24"/>
          <w:szCs w:val="24"/>
        </w:rPr>
      </w:pPr>
      <w:r>
        <w:rPr>
          <w:rFonts w:hint="eastAsia"/>
          <w:spacing w:val="8"/>
          <w:sz w:val="24"/>
          <w:szCs w:val="24"/>
        </w:rPr>
        <w:t>9.坪山区企业在对口帮扶地区投资设立的企业可享受本措施的政策，单个企业年度资助和奖励总额最高500万元。</w:t>
      </w:r>
    </w:p>
    <w:p>
      <w:pPr>
        <w:pStyle w:val="56"/>
        <w:adjustRightInd w:val="0"/>
        <w:snapToGrid w:val="0"/>
        <w:spacing w:line="360" w:lineRule="auto"/>
        <w:ind w:firstLine="512"/>
        <w:rPr>
          <w:spacing w:val="8"/>
          <w:sz w:val="24"/>
          <w:szCs w:val="24"/>
        </w:rPr>
      </w:pPr>
      <w:r>
        <w:rPr>
          <w:rFonts w:hint="eastAsia"/>
          <w:spacing w:val="8"/>
          <w:sz w:val="24"/>
          <w:szCs w:val="24"/>
        </w:rPr>
        <w:t>10.区工业和信息化局未委托任何单位和个人为企业代理坪山区经济发展专项资金资助计划申报事宜，请相关企业自主申报。区工业和信息化局将严格按照有关标准和程序受理申报，不收取任何费用。如有任何中介机构和个人假借区工业和信息化局及工作人员名义向企业收取费用的，请知情者即向区工业和信息化局举报，举报电话：89364853。</w:t>
      </w:r>
    </w:p>
    <w:p>
      <w:pPr>
        <w:pStyle w:val="56"/>
        <w:adjustRightInd w:val="0"/>
        <w:snapToGrid w:val="0"/>
        <w:spacing w:line="360" w:lineRule="auto"/>
        <w:ind w:firstLine="512"/>
        <w:rPr>
          <w:spacing w:val="8"/>
          <w:sz w:val="24"/>
          <w:szCs w:val="24"/>
        </w:rPr>
      </w:pPr>
      <w:r>
        <w:rPr>
          <w:rFonts w:hint="eastAsia"/>
          <w:spacing w:val="8"/>
          <w:sz w:val="24"/>
          <w:szCs w:val="24"/>
        </w:rPr>
        <w:t>11.本指南为经济发展专项资金申报、受理、审核实操指引，如与资助政策不一致，由区工业和信息化局负责解释。在政策执行过程中如遇相关问题，区工业和信息化局将会适时发布政策解释。</w:t>
      </w:r>
    </w:p>
    <w:p>
      <w:pPr>
        <w:ind w:firstLine="512"/>
        <w:rPr>
          <w:spacing w:val="8"/>
          <w:szCs w:val="24"/>
        </w:rPr>
      </w:pPr>
    </w:p>
    <w:p>
      <w:pPr>
        <w:ind w:firstLine="800"/>
        <w:rPr>
          <w:rFonts w:ascii="微软雅黑" w:hAnsi="微软雅黑" w:eastAsia="微软雅黑"/>
          <w:b/>
          <w:bCs/>
          <w:kern w:val="24"/>
          <w:sz w:val="40"/>
          <w:szCs w:val="11"/>
        </w:rPr>
      </w:pPr>
      <w:r>
        <w:rPr>
          <w:rFonts w:ascii="微软雅黑" w:hAnsi="微软雅黑" w:eastAsia="微软雅黑"/>
          <w:b/>
          <w:bCs/>
          <w:kern w:val="24"/>
          <w:sz w:val="40"/>
          <w:szCs w:val="11"/>
        </w:rPr>
        <w:br w:type="page"/>
      </w:r>
    </w:p>
    <w:p>
      <w:pPr>
        <w:pStyle w:val="4"/>
        <w:spacing w:line="480" w:lineRule="exact"/>
        <w:jc w:val="center"/>
        <w:rPr>
          <w:rFonts w:ascii="微软雅黑" w:hAnsi="微软雅黑" w:eastAsia="微软雅黑"/>
          <w:b w:val="0"/>
          <w:bCs w:val="0"/>
          <w:kern w:val="24"/>
          <w:sz w:val="40"/>
          <w:szCs w:val="11"/>
        </w:rPr>
      </w:pPr>
      <w:bookmarkStart w:id="18" w:name="_Toc999026011"/>
      <w:bookmarkStart w:id="19" w:name="_Toc138586183"/>
      <w:bookmarkStart w:id="20" w:name="_Toc77005904"/>
      <w:bookmarkStart w:id="21" w:name="_Toc129970544"/>
      <w:bookmarkStart w:id="22" w:name="_Toc138949321"/>
      <w:bookmarkStart w:id="23" w:name="_Toc5289292"/>
      <w:bookmarkStart w:id="24" w:name="_Toc511829349"/>
      <w:r>
        <w:rPr>
          <w:rFonts w:hint="eastAsia" w:ascii="微软雅黑" w:hAnsi="微软雅黑" w:eastAsia="微软雅黑"/>
          <w:kern w:val="24"/>
          <w:sz w:val="40"/>
          <w:szCs w:val="11"/>
        </w:rPr>
        <w:t>第三部分“</w:t>
      </w:r>
      <w:bookmarkStart w:id="25" w:name="_Hlk68013976"/>
      <w:r>
        <w:rPr>
          <w:rFonts w:hint="eastAsia" w:ascii="微软雅黑" w:hAnsi="微软雅黑" w:eastAsia="微软雅黑"/>
          <w:kern w:val="24"/>
          <w:sz w:val="40"/>
          <w:szCs w:val="11"/>
        </w:rPr>
        <w:t>坪山区科技创新和经济发展专项资金申报</w:t>
      </w:r>
      <w:bookmarkEnd w:id="25"/>
      <w:r>
        <w:rPr>
          <w:rFonts w:hint="eastAsia" w:ascii="微软雅黑" w:hAnsi="微软雅黑" w:eastAsia="微软雅黑"/>
          <w:kern w:val="24"/>
          <w:sz w:val="40"/>
          <w:szCs w:val="11"/>
        </w:rPr>
        <w:t>平台”使用指南</w:t>
      </w:r>
      <w:bookmarkEnd w:id="18"/>
      <w:bookmarkEnd w:id="19"/>
      <w:bookmarkEnd w:id="20"/>
      <w:bookmarkEnd w:id="21"/>
      <w:bookmarkEnd w:id="22"/>
    </w:p>
    <w:bookmarkEnd w:id="23"/>
    <w:bookmarkEnd w:id="24"/>
    <w:p>
      <w:pPr>
        <w:pStyle w:val="2"/>
        <w:spacing w:before="240" w:beforeLines="100" w:line="560" w:lineRule="exact"/>
        <w:ind w:firstLine="0" w:firstLineChars="0"/>
        <w:jc w:val="center"/>
        <w:rPr>
          <w:rFonts w:eastAsia="黑体"/>
          <w:b/>
          <w:bCs/>
          <w:sz w:val="28"/>
          <w:szCs w:val="28"/>
        </w:rPr>
      </w:pPr>
      <w:bookmarkStart w:id="26" w:name="_Toc129970545"/>
      <w:bookmarkStart w:id="27" w:name="_Toc138586184"/>
      <w:bookmarkStart w:id="28" w:name="_Toc138949322"/>
      <w:r>
        <w:rPr>
          <w:rFonts w:hint="eastAsia" w:ascii="宋体" w:hAnsi="宋体" w:eastAsia="黑体" w:cs="宋体"/>
          <w:b/>
          <w:bCs/>
          <w:kern w:val="0"/>
          <w:sz w:val="28"/>
          <w:szCs w:val="28"/>
        </w:rPr>
        <w:t>（一）</w:t>
      </w:r>
      <w:bookmarkEnd w:id="26"/>
      <w:bookmarkEnd w:id="27"/>
      <w:r>
        <w:rPr>
          <w:rFonts w:hint="eastAsia" w:eastAsia="黑体"/>
          <w:b/>
          <w:bCs/>
          <w:sz w:val="28"/>
          <w:szCs w:val="28"/>
        </w:rPr>
        <w:t>坪山区科技创新和经济发展专项资金申报平台</w:t>
      </w:r>
      <w:bookmarkEnd w:id="28"/>
    </w:p>
    <w:p>
      <w:pPr>
        <w:pStyle w:val="4"/>
        <w:numPr>
          <w:ilvl w:val="0"/>
          <w:numId w:val="4"/>
        </w:numPr>
        <w:spacing w:before="0" w:after="0" w:line="560" w:lineRule="exact"/>
        <w:rPr>
          <w:rFonts w:asciiTheme="majorEastAsia" w:hAnsiTheme="majorEastAsia" w:eastAsiaTheme="majorEastAsia"/>
          <w:sz w:val="28"/>
          <w:szCs w:val="28"/>
        </w:rPr>
      </w:pPr>
      <w:bookmarkStart w:id="29" w:name="_Toc138949323"/>
      <w:bookmarkStart w:id="30" w:name="_Toc428280890"/>
      <w:r>
        <w:rPr>
          <w:rFonts w:hint="eastAsia" w:asciiTheme="majorEastAsia" w:hAnsiTheme="majorEastAsia" w:eastAsiaTheme="majorEastAsia"/>
          <w:sz w:val="28"/>
          <w:szCs w:val="28"/>
        </w:rPr>
        <w:t>功能</w:t>
      </w:r>
      <w:r>
        <w:rPr>
          <w:rFonts w:asciiTheme="majorEastAsia" w:hAnsiTheme="majorEastAsia" w:eastAsiaTheme="majorEastAsia"/>
          <w:sz w:val="28"/>
          <w:szCs w:val="28"/>
        </w:rPr>
        <w:t>概述</w:t>
      </w:r>
      <w:bookmarkEnd w:id="29"/>
      <w:bookmarkEnd w:id="30"/>
    </w:p>
    <w:p>
      <w:pPr>
        <w:spacing w:line="560" w:lineRule="exact"/>
        <w:ind w:firstLine="240" w:firstLineChars="100"/>
      </w:pPr>
      <w:r>
        <w:rPr>
          <w:rFonts w:hint="eastAsia"/>
        </w:rPr>
        <w:t>功能列表如下：</w:t>
      </w:r>
    </w:p>
    <w:p>
      <w:pPr>
        <w:ind w:firstLine="480"/>
      </w:pPr>
    </w:p>
    <w:tbl>
      <w:tblPr>
        <w:tblStyle w:val="22"/>
        <w:tblW w:w="6756" w:type="dxa"/>
        <w:jc w:val="center"/>
        <w:tblLayout w:type="autofit"/>
        <w:tblCellMar>
          <w:top w:w="0" w:type="dxa"/>
          <w:left w:w="108" w:type="dxa"/>
          <w:bottom w:w="0" w:type="dxa"/>
          <w:right w:w="108" w:type="dxa"/>
        </w:tblCellMar>
      </w:tblPr>
      <w:tblGrid>
        <w:gridCol w:w="1752"/>
        <w:gridCol w:w="2244"/>
        <w:gridCol w:w="2760"/>
      </w:tblGrid>
      <w:tr>
        <w:tblPrEx>
          <w:tblCellMar>
            <w:top w:w="0" w:type="dxa"/>
            <w:left w:w="108" w:type="dxa"/>
            <w:bottom w:w="0" w:type="dxa"/>
            <w:right w:w="108" w:type="dxa"/>
          </w:tblCellMar>
        </w:tblPrEx>
        <w:trPr>
          <w:trHeight w:val="291" w:hRule="atLeast"/>
          <w:jc w:val="center"/>
        </w:trPr>
        <w:tc>
          <w:tcPr>
            <w:tcW w:w="1752" w:type="dxa"/>
            <w:tcBorders>
              <w:top w:val="single" w:color="000000" w:sz="8" w:space="0"/>
              <w:left w:val="single" w:color="000000" w:sz="8" w:space="0"/>
              <w:bottom w:val="single" w:color="000000" w:sz="8" w:space="0"/>
              <w:right w:val="single" w:color="000000" w:sz="8" w:space="0"/>
            </w:tcBorders>
            <w:shd w:val="clear" w:color="auto" w:fill="BFBFBF"/>
          </w:tcPr>
          <w:p>
            <w:pPr>
              <w:widowControl/>
              <w:ind w:firstLine="0" w:firstLineChars="0"/>
              <w:jc w:val="center"/>
              <w:rPr>
                <w:rFonts w:ascii="宋体" w:hAnsi="宋体" w:cs="宋体"/>
                <w:b/>
                <w:bCs/>
                <w:color w:val="000000"/>
                <w:kern w:val="0"/>
                <w:szCs w:val="24"/>
              </w:rPr>
            </w:pPr>
            <w:r>
              <w:rPr>
                <w:rFonts w:hint="eastAsia" w:ascii="宋体" w:hAnsi="宋体" w:cs="宋体"/>
                <w:b/>
                <w:bCs/>
                <w:color w:val="000000"/>
                <w:kern w:val="0"/>
                <w:szCs w:val="24"/>
              </w:rPr>
              <w:t>子系统</w:t>
            </w:r>
          </w:p>
        </w:tc>
        <w:tc>
          <w:tcPr>
            <w:tcW w:w="2244" w:type="dxa"/>
            <w:tcBorders>
              <w:top w:val="single" w:color="000000" w:sz="8" w:space="0"/>
              <w:left w:val="nil"/>
              <w:bottom w:val="single" w:color="000000" w:sz="8" w:space="0"/>
              <w:right w:val="single" w:color="000000" w:sz="8" w:space="0"/>
            </w:tcBorders>
            <w:shd w:val="clear" w:color="auto" w:fill="BFBFBF"/>
            <w:noWrap/>
            <w:vAlign w:val="bottom"/>
          </w:tcPr>
          <w:p>
            <w:pPr>
              <w:widowControl/>
              <w:ind w:firstLine="0" w:firstLineChars="0"/>
              <w:jc w:val="center"/>
              <w:rPr>
                <w:rFonts w:ascii="宋体" w:hAnsi="宋体" w:cs="宋体"/>
                <w:b/>
                <w:bCs/>
                <w:color w:val="000000"/>
                <w:kern w:val="0"/>
                <w:szCs w:val="24"/>
              </w:rPr>
            </w:pPr>
            <w:r>
              <w:rPr>
                <w:rFonts w:hint="eastAsia" w:ascii="宋体" w:hAnsi="宋体" w:cs="宋体"/>
                <w:b/>
                <w:bCs/>
                <w:color w:val="000000"/>
                <w:kern w:val="0"/>
                <w:szCs w:val="24"/>
              </w:rPr>
              <w:t>功能模块</w:t>
            </w:r>
          </w:p>
        </w:tc>
        <w:tc>
          <w:tcPr>
            <w:tcW w:w="2760" w:type="dxa"/>
            <w:tcBorders>
              <w:top w:val="single" w:color="000000" w:sz="8" w:space="0"/>
              <w:left w:val="nil"/>
              <w:bottom w:val="single" w:color="000000" w:sz="8" w:space="0"/>
              <w:right w:val="single" w:color="000000" w:sz="8" w:space="0"/>
            </w:tcBorders>
            <w:shd w:val="clear" w:color="auto" w:fill="BFBFBF"/>
            <w:noWrap/>
            <w:vAlign w:val="bottom"/>
          </w:tcPr>
          <w:p>
            <w:pPr>
              <w:widowControl/>
              <w:ind w:firstLine="0" w:firstLineChars="0"/>
              <w:jc w:val="center"/>
              <w:rPr>
                <w:rFonts w:ascii="宋体" w:hAnsi="宋体" w:cs="宋体"/>
                <w:b/>
                <w:bCs/>
                <w:color w:val="000000"/>
                <w:kern w:val="0"/>
                <w:szCs w:val="24"/>
              </w:rPr>
            </w:pPr>
            <w:r>
              <w:rPr>
                <w:rFonts w:hint="eastAsia" w:ascii="宋体" w:hAnsi="宋体" w:cs="宋体"/>
                <w:b/>
                <w:bCs/>
                <w:color w:val="000000"/>
                <w:kern w:val="0"/>
                <w:szCs w:val="24"/>
              </w:rPr>
              <w:t>子功能</w:t>
            </w:r>
          </w:p>
        </w:tc>
      </w:tr>
      <w:tr>
        <w:tblPrEx>
          <w:tblCellMar>
            <w:top w:w="0" w:type="dxa"/>
            <w:left w:w="108" w:type="dxa"/>
            <w:bottom w:w="0" w:type="dxa"/>
            <w:right w:w="108" w:type="dxa"/>
          </w:tblCellMar>
        </w:tblPrEx>
        <w:trPr>
          <w:trHeight w:val="481" w:hRule="atLeast"/>
          <w:jc w:val="center"/>
        </w:trPr>
        <w:tc>
          <w:tcPr>
            <w:tcW w:w="1752"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资金申报端</w:t>
            </w:r>
          </w:p>
        </w:tc>
        <w:tc>
          <w:tcPr>
            <w:tcW w:w="2244" w:type="dxa"/>
            <w:vMerge w:val="restart"/>
            <w:tcBorders>
              <w:top w:val="nil"/>
              <w:left w:val="nil"/>
              <w:bottom w:val="single" w:color="000000" w:sz="8" w:space="0"/>
              <w:right w:val="single" w:color="000000" w:sz="8" w:space="0"/>
            </w:tcBorders>
            <w:shd w:val="clear" w:color="auto" w:fill="auto"/>
            <w:noWrap/>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注册登录</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用户注册认证</w:t>
            </w:r>
          </w:p>
        </w:tc>
      </w:tr>
      <w:tr>
        <w:tblPrEx>
          <w:tblCellMar>
            <w:top w:w="0" w:type="dxa"/>
            <w:left w:w="108" w:type="dxa"/>
            <w:bottom w:w="0" w:type="dxa"/>
            <w:right w:w="108" w:type="dxa"/>
          </w:tblCellMar>
        </w:tblPrEx>
        <w:trPr>
          <w:trHeight w:val="454"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登录</w:t>
            </w:r>
          </w:p>
        </w:tc>
      </w:tr>
      <w:tr>
        <w:tblPrEx>
          <w:tblCellMar>
            <w:top w:w="0" w:type="dxa"/>
            <w:left w:w="108" w:type="dxa"/>
            <w:bottom w:w="0" w:type="dxa"/>
            <w:right w:w="108" w:type="dxa"/>
          </w:tblCellMar>
        </w:tblPrEx>
        <w:trPr>
          <w:trHeight w:val="467"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密码重置</w:t>
            </w:r>
          </w:p>
        </w:tc>
      </w:tr>
      <w:tr>
        <w:tblPrEx>
          <w:tblCellMar>
            <w:top w:w="0" w:type="dxa"/>
            <w:left w:w="108" w:type="dxa"/>
            <w:bottom w:w="0" w:type="dxa"/>
            <w:right w:w="108" w:type="dxa"/>
          </w:tblCellMar>
        </w:tblPrEx>
        <w:trPr>
          <w:trHeight w:val="467"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restart"/>
            <w:tcBorders>
              <w:top w:val="nil"/>
              <w:left w:val="nil"/>
              <w:bottom w:val="single" w:color="000000" w:sz="8" w:space="0"/>
              <w:right w:val="single" w:color="000000" w:sz="8" w:space="0"/>
            </w:tcBorders>
            <w:shd w:val="clear" w:color="auto" w:fill="auto"/>
            <w:noWrap/>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单位设置</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单位认证信息修改</w:t>
            </w:r>
          </w:p>
        </w:tc>
      </w:tr>
      <w:tr>
        <w:tblPrEx>
          <w:tblCellMar>
            <w:top w:w="0" w:type="dxa"/>
            <w:left w:w="108" w:type="dxa"/>
            <w:bottom w:w="0" w:type="dxa"/>
            <w:right w:w="108" w:type="dxa"/>
          </w:tblCellMar>
        </w:tblPrEx>
        <w:trPr>
          <w:trHeight w:val="481"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单位基本信息维护</w:t>
            </w:r>
          </w:p>
        </w:tc>
      </w:tr>
      <w:tr>
        <w:tblPrEx>
          <w:tblCellMar>
            <w:top w:w="0" w:type="dxa"/>
            <w:left w:w="108" w:type="dxa"/>
            <w:bottom w:w="0" w:type="dxa"/>
            <w:right w:w="108" w:type="dxa"/>
          </w:tblCellMar>
        </w:tblPrEx>
        <w:trPr>
          <w:trHeight w:val="48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密码修改</w:t>
            </w:r>
          </w:p>
        </w:tc>
      </w:tr>
      <w:tr>
        <w:tblPrEx>
          <w:tblCellMar>
            <w:top w:w="0" w:type="dxa"/>
            <w:left w:w="108" w:type="dxa"/>
            <w:bottom w:w="0" w:type="dxa"/>
            <w:right w:w="108" w:type="dxa"/>
          </w:tblCellMar>
        </w:tblPrEx>
        <w:trPr>
          <w:trHeight w:val="48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restart"/>
            <w:tcBorders>
              <w:top w:val="nil"/>
              <w:left w:val="nil"/>
              <w:bottom w:val="single" w:color="000000" w:sz="8" w:space="0"/>
              <w:right w:val="single" w:color="000000" w:sz="8" w:space="0"/>
            </w:tcBorders>
            <w:shd w:val="clear" w:color="auto" w:fill="auto"/>
            <w:noWrap/>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政策申报</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资金政策推荐</w:t>
            </w:r>
          </w:p>
        </w:tc>
      </w:tr>
      <w:tr>
        <w:tblPrEx>
          <w:tblCellMar>
            <w:top w:w="0" w:type="dxa"/>
            <w:left w:w="108" w:type="dxa"/>
            <w:bottom w:w="0" w:type="dxa"/>
            <w:right w:w="108" w:type="dxa"/>
          </w:tblCellMar>
        </w:tblPrEx>
        <w:trPr>
          <w:trHeight w:val="44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资金政策查看</w:t>
            </w:r>
          </w:p>
        </w:tc>
      </w:tr>
      <w:tr>
        <w:tblPrEx>
          <w:tblCellMar>
            <w:top w:w="0" w:type="dxa"/>
            <w:left w:w="108" w:type="dxa"/>
            <w:bottom w:w="0" w:type="dxa"/>
            <w:right w:w="108" w:type="dxa"/>
          </w:tblCellMar>
        </w:tblPrEx>
        <w:trPr>
          <w:trHeight w:val="44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资金申报</w:t>
            </w:r>
          </w:p>
        </w:tc>
      </w:tr>
      <w:tr>
        <w:tblPrEx>
          <w:tblCellMar>
            <w:top w:w="0" w:type="dxa"/>
            <w:left w:w="108" w:type="dxa"/>
            <w:bottom w:w="0" w:type="dxa"/>
            <w:right w:w="108" w:type="dxa"/>
          </w:tblCellMar>
        </w:tblPrEx>
        <w:trPr>
          <w:trHeight w:val="467"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我的申报</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申报进度查询</w:t>
            </w:r>
          </w:p>
        </w:tc>
      </w:tr>
      <w:tr>
        <w:tblPrEx>
          <w:tblCellMar>
            <w:top w:w="0" w:type="dxa"/>
            <w:left w:w="108" w:type="dxa"/>
            <w:bottom w:w="0" w:type="dxa"/>
            <w:right w:w="108" w:type="dxa"/>
          </w:tblCellMar>
        </w:tblPrEx>
        <w:trPr>
          <w:trHeight w:val="493"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待办事项</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p>
        </w:tc>
      </w:tr>
      <w:tr>
        <w:tblPrEx>
          <w:tblCellMar>
            <w:top w:w="0" w:type="dxa"/>
            <w:left w:w="108" w:type="dxa"/>
            <w:bottom w:w="0" w:type="dxa"/>
            <w:right w:w="108" w:type="dxa"/>
          </w:tblCellMar>
        </w:tblPrEx>
        <w:trPr>
          <w:trHeight w:val="608"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附件下载</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p>
        </w:tc>
      </w:tr>
    </w:tbl>
    <w:p>
      <w:pPr>
        <w:ind w:firstLine="480"/>
      </w:pPr>
    </w:p>
    <w:p>
      <w:pPr>
        <w:pStyle w:val="4"/>
        <w:numPr>
          <w:ilvl w:val="0"/>
          <w:numId w:val="4"/>
        </w:numPr>
        <w:spacing w:before="0" w:after="0" w:line="560" w:lineRule="exact"/>
        <w:rPr>
          <w:rFonts w:asciiTheme="majorEastAsia" w:hAnsiTheme="majorEastAsia"/>
          <w:sz w:val="24"/>
          <w:szCs w:val="24"/>
        </w:rPr>
      </w:pPr>
      <w:bookmarkStart w:id="31" w:name="_Toc138949324"/>
      <w:bookmarkStart w:id="32" w:name="_Toc428280891"/>
      <w:r>
        <w:rPr>
          <w:rFonts w:hint="eastAsia" w:asciiTheme="majorEastAsia" w:hAnsiTheme="majorEastAsia"/>
          <w:sz w:val="24"/>
          <w:szCs w:val="24"/>
        </w:rPr>
        <w:t>使用说明</w:t>
      </w:r>
      <w:bookmarkEnd w:id="31"/>
      <w:bookmarkEnd w:id="32"/>
    </w:p>
    <w:p>
      <w:pPr>
        <w:pStyle w:val="5"/>
        <w:numPr>
          <w:ilvl w:val="1"/>
          <w:numId w:val="4"/>
        </w:numPr>
        <w:spacing w:before="0" w:after="0" w:line="560" w:lineRule="exact"/>
        <w:ind w:left="0" w:firstLine="482"/>
        <w:rPr>
          <w:rFonts w:eastAsia="宋体"/>
          <w:szCs w:val="24"/>
        </w:rPr>
      </w:pPr>
      <w:bookmarkStart w:id="33" w:name="_Toc138949325"/>
      <w:bookmarkStart w:id="34" w:name="_Toc102485703"/>
      <w:r>
        <w:rPr>
          <w:rFonts w:hint="eastAsia" w:eastAsia="宋体"/>
          <w:szCs w:val="24"/>
        </w:rPr>
        <w:t>资金申报端</w:t>
      </w:r>
      <w:bookmarkEnd w:id="33"/>
      <w:bookmarkEnd w:id="34"/>
    </w:p>
    <w:p>
      <w:pPr>
        <w:pStyle w:val="6"/>
        <w:numPr>
          <w:ilvl w:val="2"/>
          <w:numId w:val="4"/>
        </w:numPr>
        <w:spacing w:before="0" w:after="0" w:line="560" w:lineRule="exact"/>
        <w:ind w:left="0" w:firstLine="482"/>
        <w:rPr>
          <w:szCs w:val="24"/>
        </w:rPr>
      </w:pPr>
      <w:bookmarkStart w:id="35" w:name="_Toc138949326"/>
      <w:bookmarkStart w:id="36" w:name="_Toc102485704"/>
      <w:r>
        <w:rPr>
          <w:rFonts w:hint="eastAsia"/>
          <w:szCs w:val="24"/>
        </w:rPr>
        <w:t>注册登录</w:t>
      </w:r>
      <w:bookmarkEnd w:id="35"/>
      <w:bookmarkEnd w:id="36"/>
    </w:p>
    <w:p>
      <w:pPr>
        <w:pStyle w:val="7"/>
        <w:numPr>
          <w:ilvl w:val="3"/>
          <w:numId w:val="4"/>
        </w:numPr>
        <w:spacing w:before="0" w:after="0" w:line="560" w:lineRule="exact"/>
        <w:ind w:left="0" w:firstLine="482"/>
        <w:rPr>
          <w:rFonts w:eastAsia="宋体"/>
          <w:sz w:val="24"/>
          <w:szCs w:val="24"/>
        </w:rPr>
      </w:pPr>
      <w:r>
        <w:rPr>
          <w:rFonts w:hint="eastAsia" w:eastAsia="宋体"/>
          <w:sz w:val="24"/>
          <w:szCs w:val="24"/>
        </w:rPr>
        <w:t>用户注册认证</w:t>
      </w:r>
    </w:p>
    <w:p>
      <w:pPr>
        <w:pStyle w:val="56"/>
        <w:keepNext/>
        <w:keepLines/>
        <w:numPr>
          <w:ilvl w:val="0"/>
          <w:numId w:val="5"/>
        </w:numPr>
        <w:tabs>
          <w:tab w:val="left" w:pos="1008"/>
        </w:tabs>
        <w:spacing w:line="560" w:lineRule="exact"/>
        <w:ind w:left="0" w:firstLine="482"/>
        <w:jc w:val="left"/>
        <w:outlineLvl w:val="4"/>
        <w:rPr>
          <w:b/>
          <w:bCs/>
          <w:vanish/>
          <w:sz w:val="24"/>
          <w:szCs w:val="24"/>
        </w:rPr>
      </w:pPr>
    </w:p>
    <w:p>
      <w:pPr>
        <w:pStyle w:val="56"/>
        <w:keepNext/>
        <w:keepLines/>
        <w:numPr>
          <w:ilvl w:val="0"/>
          <w:numId w:val="5"/>
        </w:numPr>
        <w:tabs>
          <w:tab w:val="left" w:pos="1008"/>
        </w:tabs>
        <w:spacing w:line="560" w:lineRule="exact"/>
        <w:ind w:left="0" w:firstLine="482"/>
        <w:jc w:val="left"/>
        <w:outlineLvl w:val="4"/>
        <w:rPr>
          <w:b/>
          <w:bCs/>
          <w:vanish/>
          <w:sz w:val="24"/>
          <w:szCs w:val="24"/>
        </w:rPr>
      </w:pPr>
    </w:p>
    <w:p>
      <w:pPr>
        <w:pStyle w:val="56"/>
        <w:keepNext/>
        <w:keepLines/>
        <w:numPr>
          <w:ilvl w:val="1"/>
          <w:numId w:val="5"/>
        </w:numPr>
        <w:tabs>
          <w:tab w:val="left" w:pos="1008"/>
        </w:tabs>
        <w:spacing w:line="560" w:lineRule="exact"/>
        <w:ind w:left="0" w:firstLine="482"/>
        <w:jc w:val="left"/>
        <w:outlineLvl w:val="4"/>
        <w:rPr>
          <w:b/>
          <w:bCs/>
          <w:vanish/>
          <w:sz w:val="24"/>
          <w:szCs w:val="24"/>
        </w:rPr>
      </w:pPr>
    </w:p>
    <w:p>
      <w:pPr>
        <w:pStyle w:val="56"/>
        <w:keepNext/>
        <w:keepLines/>
        <w:numPr>
          <w:ilvl w:val="2"/>
          <w:numId w:val="5"/>
        </w:numPr>
        <w:tabs>
          <w:tab w:val="left" w:pos="1008"/>
        </w:tabs>
        <w:spacing w:line="560" w:lineRule="exact"/>
        <w:ind w:left="0" w:firstLine="482"/>
        <w:jc w:val="left"/>
        <w:outlineLvl w:val="4"/>
        <w:rPr>
          <w:b/>
          <w:bCs/>
          <w:vanish/>
          <w:sz w:val="24"/>
          <w:szCs w:val="24"/>
        </w:rPr>
      </w:pPr>
    </w:p>
    <w:p>
      <w:pPr>
        <w:pStyle w:val="56"/>
        <w:keepNext/>
        <w:keepLines/>
        <w:numPr>
          <w:ilvl w:val="3"/>
          <w:numId w:val="5"/>
        </w:numPr>
        <w:tabs>
          <w:tab w:val="left" w:pos="1008"/>
        </w:tabs>
        <w:spacing w:line="560" w:lineRule="exact"/>
        <w:ind w:left="0" w:firstLine="482"/>
        <w:jc w:val="left"/>
        <w:outlineLvl w:val="4"/>
        <w:rPr>
          <w:b/>
          <w:bCs/>
          <w:vanish/>
          <w:sz w:val="24"/>
          <w:szCs w:val="24"/>
        </w:rPr>
      </w:pPr>
    </w:p>
    <w:p>
      <w:pPr>
        <w:pStyle w:val="8"/>
        <w:numPr>
          <w:ilvl w:val="4"/>
          <w:numId w:val="5"/>
        </w:numPr>
        <w:spacing w:before="0" w:after="0" w:line="560" w:lineRule="exact"/>
        <w:ind w:left="0" w:firstLine="482"/>
        <w:rPr>
          <w:rFonts w:eastAsia="宋体"/>
          <w:szCs w:val="24"/>
        </w:rPr>
      </w:pPr>
      <w:r>
        <w:rPr>
          <w:rFonts w:hint="eastAsia" w:eastAsia="宋体"/>
          <w:szCs w:val="24"/>
        </w:rPr>
        <w:t>业务</w:t>
      </w:r>
      <w:r>
        <w:rPr>
          <w:rFonts w:eastAsia="宋体"/>
          <w:szCs w:val="24"/>
        </w:rPr>
        <w:t>概述</w:t>
      </w:r>
    </w:p>
    <w:p>
      <w:pPr>
        <w:spacing w:line="560" w:lineRule="exact"/>
        <w:ind w:firstLine="480"/>
        <w:rPr>
          <w:szCs w:val="24"/>
        </w:rPr>
      </w:pPr>
      <w:r>
        <w:rPr>
          <w:rFonts w:hint="eastAsia"/>
          <w:szCs w:val="24"/>
        </w:rPr>
        <w:t>在门户页可查看九大政策的相关介绍，并通过注册/</w:t>
      </w:r>
      <w:r>
        <w:rPr>
          <w:rFonts w:hint="eastAsia"/>
          <w:szCs w:val="24"/>
          <w:lang w:eastAsia="zh-CN"/>
        </w:rPr>
        <w:t>登录</w:t>
      </w:r>
      <w:r>
        <w:rPr>
          <w:rFonts w:hint="eastAsia"/>
          <w:szCs w:val="24"/>
        </w:rPr>
        <w:t>入口进来系统。</w:t>
      </w:r>
    </w:p>
    <w:p>
      <w:pPr>
        <w:ind w:firstLine="480"/>
        <w:rPr>
          <w:szCs w:val="24"/>
        </w:rPr>
      </w:pPr>
      <w:r>
        <w:rPr>
          <w:rFonts w:hint="eastAsia"/>
          <w:szCs w:val="24"/>
        </w:rPr>
        <w:drawing>
          <wp:inline distT="0" distB="0" distL="114300" distR="114300">
            <wp:extent cx="5264785" cy="3614420"/>
            <wp:effectExtent l="0" t="0" r="12065" b="5080"/>
            <wp:docPr id="8" name="图片 1" descr="52851c606b3abf98524414ff55fce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52851c606b3abf98524414ff55fcefd"/>
                    <pic:cNvPicPr>
                      <a:picLocks noChangeAspect="1"/>
                    </pic:cNvPicPr>
                  </pic:nvPicPr>
                  <pic:blipFill>
                    <a:blip r:embed="rId34"/>
                    <a:stretch>
                      <a:fillRect/>
                    </a:stretch>
                  </pic:blipFill>
                  <pic:spPr>
                    <a:xfrm>
                      <a:off x="0" y="0"/>
                      <a:ext cx="5264785" cy="3614420"/>
                    </a:xfrm>
                    <a:prstGeom prst="rect">
                      <a:avLst/>
                    </a:prstGeom>
                    <a:noFill/>
                    <a:ln>
                      <a:noFill/>
                    </a:ln>
                  </pic:spPr>
                </pic:pic>
              </a:graphicData>
            </a:graphic>
          </wp:inline>
        </w:drawing>
      </w:r>
    </w:p>
    <w:p>
      <w:pPr>
        <w:ind w:firstLine="480"/>
        <w:rPr>
          <w:szCs w:val="24"/>
        </w:rPr>
      </w:pPr>
      <w:r>
        <w:rPr>
          <w:rFonts w:hint="eastAsia"/>
          <w:szCs w:val="24"/>
        </w:rPr>
        <w:t>申报单位登录平台前，需要先注册认证平台用户。</w:t>
      </w:r>
    </w:p>
    <w:p>
      <w:pPr>
        <w:ind w:firstLine="480"/>
        <w:rPr>
          <w:szCs w:val="24"/>
        </w:rPr>
      </w:pPr>
      <w:r>
        <w:rPr>
          <w:rFonts w:hint="eastAsia"/>
          <w:szCs w:val="24"/>
        </w:rPr>
        <w:drawing>
          <wp:inline distT="0" distB="0" distL="114300" distR="114300">
            <wp:extent cx="5264150" cy="2958465"/>
            <wp:effectExtent l="0" t="0" r="12700" b="13335"/>
            <wp:docPr id="13" name="图片 2" descr="1b3dfc76736f40f65f46fec336b4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1b3dfc76736f40f65f46fec336b4db3"/>
                    <pic:cNvPicPr>
                      <a:picLocks noChangeAspect="1"/>
                    </pic:cNvPicPr>
                  </pic:nvPicPr>
                  <pic:blipFill>
                    <a:blip r:embed="rId35"/>
                    <a:stretch>
                      <a:fillRect/>
                    </a:stretch>
                  </pic:blipFill>
                  <pic:spPr>
                    <a:xfrm>
                      <a:off x="0" y="0"/>
                      <a:ext cx="5264150" cy="2958465"/>
                    </a:xfrm>
                    <a:prstGeom prst="rect">
                      <a:avLst/>
                    </a:prstGeom>
                    <a:noFill/>
                    <a:ln>
                      <a:noFill/>
                    </a:ln>
                  </pic:spPr>
                </pic:pic>
              </a:graphicData>
            </a:graphic>
          </wp:inline>
        </w:drawing>
      </w:r>
    </w:p>
    <w:p>
      <w:pPr>
        <w:ind w:firstLine="480"/>
        <w:rPr>
          <w:szCs w:val="24"/>
        </w:rPr>
      </w:pPr>
    </w:p>
    <w:p>
      <w:pPr>
        <w:spacing w:line="560" w:lineRule="exact"/>
        <w:ind w:firstLine="480"/>
        <w:rPr>
          <w:szCs w:val="24"/>
        </w:rPr>
      </w:pPr>
      <w:r>
        <w:rPr>
          <w:rFonts w:hint="eastAsia"/>
          <w:szCs w:val="24"/>
        </w:rPr>
        <w:t>（1）在平台登录页面设置注册入口，通过点击注册按钮后，跳转至注册页面。</w:t>
      </w:r>
    </w:p>
    <w:p>
      <w:pPr>
        <w:spacing w:line="560" w:lineRule="exact"/>
        <w:ind w:firstLine="480"/>
        <w:rPr>
          <w:szCs w:val="24"/>
        </w:rPr>
      </w:pPr>
      <w:r>
        <w:rPr>
          <w:rFonts w:hint="eastAsia"/>
          <w:szCs w:val="24"/>
        </w:rPr>
        <w:t>（2）用户填写注册认证信息及上传企业认证材料，待资金主管部门审核。</w:t>
      </w:r>
    </w:p>
    <w:p>
      <w:pPr>
        <w:spacing w:line="560" w:lineRule="exact"/>
        <w:ind w:firstLine="480"/>
        <w:rPr>
          <w:szCs w:val="24"/>
        </w:rPr>
      </w:pPr>
      <w:r>
        <w:rPr>
          <w:rFonts w:hint="eastAsia"/>
          <w:szCs w:val="24"/>
        </w:rPr>
        <w:t>（3）认证审核通过后，系统向申报单位发送短信通知，用户可凭借账号（统一社会信用代码）及密码在登录页登录平台。</w:t>
      </w:r>
    </w:p>
    <w:p>
      <w:pPr>
        <w:ind w:firstLine="480"/>
        <w:rPr>
          <w:szCs w:val="24"/>
        </w:rPr>
      </w:pPr>
    </w:p>
    <w:p>
      <w:pPr>
        <w:pStyle w:val="7"/>
        <w:numPr>
          <w:ilvl w:val="3"/>
          <w:numId w:val="4"/>
        </w:numPr>
        <w:spacing w:before="0" w:after="0" w:line="560" w:lineRule="exact"/>
        <w:ind w:left="0" w:firstLine="482"/>
        <w:rPr>
          <w:rFonts w:eastAsia="宋体"/>
          <w:sz w:val="24"/>
          <w:szCs w:val="24"/>
        </w:rPr>
      </w:pPr>
      <w:r>
        <w:rPr>
          <w:rFonts w:hint="eastAsia" w:eastAsia="宋体"/>
          <w:sz w:val="24"/>
          <w:szCs w:val="24"/>
        </w:rPr>
        <w:t>登录</w:t>
      </w:r>
    </w:p>
    <w:p>
      <w:pPr>
        <w:pStyle w:val="56"/>
        <w:keepNext/>
        <w:keepLines/>
        <w:numPr>
          <w:ilvl w:val="0"/>
          <w:numId w:val="6"/>
        </w:numPr>
        <w:tabs>
          <w:tab w:val="left" w:pos="1008"/>
        </w:tabs>
        <w:spacing w:line="560" w:lineRule="exact"/>
        <w:ind w:left="0" w:firstLine="482"/>
        <w:jc w:val="left"/>
        <w:outlineLvl w:val="4"/>
        <w:rPr>
          <w:b/>
          <w:bCs/>
          <w:vanish/>
          <w:sz w:val="24"/>
          <w:szCs w:val="24"/>
        </w:rPr>
      </w:pPr>
    </w:p>
    <w:p>
      <w:pPr>
        <w:pStyle w:val="56"/>
        <w:keepNext/>
        <w:keepLines/>
        <w:numPr>
          <w:ilvl w:val="0"/>
          <w:numId w:val="6"/>
        </w:numPr>
        <w:tabs>
          <w:tab w:val="left" w:pos="1008"/>
        </w:tabs>
        <w:spacing w:line="560" w:lineRule="exact"/>
        <w:ind w:left="0" w:firstLine="482"/>
        <w:jc w:val="left"/>
        <w:outlineLvl w:val="4"/>
        <w:rPr>
          <w:b/>
          <w:bCs/>
          <w:vanish/>
          <w:sz w:val="24"/>
          <w:szCs w:val="24"/>
        </w:rPr>
      </w:pPr>
    </w:p>
    <w:p>
      <w:pPr>
        <w:pStyle w:val="56"/>
        <w:keepNext/>
        <w:keepLines/>
        <w:numPr>
          <w:ilvl w:val="1"/>
          <w:numId w:val="6"/>
        </w:numPr>
        <w:tabs>
          <w:tab w:val="left" w:pos="1008"/>
        </w:tabs>
        <w:spacing w:line="560" w:lineRule="exact"/>
        <w:ind w:left="0" w:firstLine="482"/>
        <w:jc w:val="left"/>
        <w:outlineLvl w:val="4"/>
        <w:rPr>
          <w:b/>
          <w:bCs/>
          <w:vanish/>
          <w:sz w:val="24"/>
          <w:szCs w:val="24"/>
        </w:rPr>
      </w:pPr>
    </w:p>
    <w:p>
      <w:pPr>
        <w:pStyle w:val="56"/>
        <w:keepNext/>
        <w:keepLines/>
        <w:numPr>
          <w:ilvl w:val="2"/>
          <w:numId w:val="6"/>
        </w:numPr>
        <w:tabs>
          <w:tab w:val="left" w:pos="1008"/>
        </w:tabs>
        <w:spacing w:line="560" w:lineRule="exact"/>
        <w:ind w:left="0" w:firstLine="482"/>
        <w:jc w:val="left"/>
        <w:outlineLvl w:val="4"/>
        <w:rPr>
          <w:b/>
          <w:bCs/>
          <w:vanish/>
          <w:sz w:val="24"/>
          <w:szCs w:val="24"/>
        </w:rPr>
      </w:pPr>
    </w:p>
    <w:p>
      <w:pPr>
        <w:pStyle w:val="56"/>
        <w:keepNext/>
        <w:keepLines/>
        <w:numPr>
          <w:ilvl w:val="3"/>
          <w:numId w:val="6"/>
        </w:numPr>
        <w:tabs>
          <w:tab w:val="left" w:pos="1008"/>
        </w:tabs>
        <w:spacing w:line="560" w:lineRule="exact"/>
        <w:ind w:left="0" w:firstLine="482"/>
        <w:jc w:val="left"/>
        <w:outlineLvl w:val="4"/>
        <w:rPr>
          <w:b/>
          <w:bCs/>
          <w:vanish/>
          <w:sz w:val="24"/>
          <w:szCs w:val="24"/>
        </w:rPr>
      </w:pPr>
    </w:p>
    <w:p>
      <w:pPr>
        <w:pStyle w:val="56"/>
        <w:keepNext/>
        <w:keepLines/>
        <w:numPr>
          <w:ilvl w:val="3"/>
          <w:numId w:val="6"/>
        </w:numPr>
        <w:tabs>
          <w:tab w:val="left" w:pos="1008"/>
        </w:tabs>
        <w:spacing w:line="560" w:lineRule="exact"/>
        <w:ind w:left="0" w:firstLine="482"/>
        <w:jc w:val="left"/>
        <w:outlineLvl w:val="4"/>
        <w:rPr>
          <w:b/>
          <w:bCs/>
          <w:vanish/>
          <w:sz w:val="24"/>
          <w:szCs w:val="24"/>
        </w:rPr>
      </w:pPr>
    </w:p>
    <w:p>
      <w:pPr>
        <w:pStyle w:val="8"/>
        <w:numPr>
          <w:ilvl w:val="4"/>
          <w:numId w:val="6"/>
        </w:numPr>
        <w:spacing w:before="0" w:after="0" w:line="560" w:lineRule="exact"/>
        <w:ind w:left="0" w:firstLine="482"/>
        <w:rPr>
          <w:rFonts w:eastAsia="宋体"/>
          <w:szCs w:val="24"/>
        </w:rPr>
      </w:pPr>
      <w:r>
        <w:rPr>
          <w:rFonts w:hint="eastAsia" w:eastAsia="宋体"/>
          <w:szCs w:val="24"/>
        </w:rPr>
        <w:t>业务</w:t>
      </w:r>
      <w:r>
        <w:rPr>
          <w:rFonts w:eastAsia="宋体"/>
          <w:szCs w:val="24"/>
        </w:rPr>
        <w:t>概述</w:t>
      </w:r>
    </w:p>
    <w:p>
      <w:pPr>
        <w:spacing w:line="560" w:lineRule="exact"/>
        <w:ind w:firstLine="480"/>
        <w:rPr>
          <w:szCs w:val="24"/>
        </w:rPr>
      </w:pPr>
      <w:r>
        <w:rPr>
          <w:rFonts w:hint="eastAsia"/>
          <w:szCs w:val="24"/>
        </w:rPr>
        <w:t>（1）在登录页面，用户选择以申报单位身份登录</w:t>
      </w:r>
    </w:p>
    <w:p>
      <w:pPr>
        <w:ind w:firstLine="480"/>
        <w:rPr>
          <w:szCs w:val="24"/>
        </w:rPr>
      </w:pPr>
      <w:r>
        <w:rPr>
          <w:szCs w:val="24"/>
        </w:rPr>
        <w:drawing>
          <wp:inline distT="0" distB="0" distL="114300" distR="114300">
            <wp:extent cx="5372100" cy="278130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36"/>
                    <a:stretch>
                      <a:fillRect/>
                    </a:stretch>
                  </pic:blipFill>
                  <pic:spPr>
                    <a:xfrm>
                      <a:off x="0" y="0"/>
                      <a:ext cx="5372100" cy="2781300"/>
                    </a:xfrm>
                    <a:prstGeom prst="rect">
                      <a:avLst/>
                    </a:prstGeom>
                    <a:noFill/>
                    <a:ln>
                      <a:noFill/>
                    </a:ln>
                  </pic:spPr>
                </pic:pic>
              </a:graphicData>
            </a:graphic>
          </wp:inline>
        </w:drawing>
      </w:r>
    </w:p>
    <w:p>
      <w:pPr>
        <w:ind w:firstLine="480"/>
        <w:rPr>
          <w:szCs w:val="24"/>
        </w:rPr>
      </w:pPr>
    </w:p>
    <w:p>
      <w:pPr>
        <w:numPr>
          <w:ilvl w:val="0"/>
          <w:numId w:val="7"/>
        </w:numPr>
        <w:ind w:firstLine="480"/>
        <w:rPr>
          <w:szCs w:val="24"/>
        </w:rPr>
      </w:pPr>
      <w:r>
        <w:rPr>
          <w:rFonts w:hint="eastAsia"/>
          <w:szCs w:val="24"/>
        </w:rPr>
        <w:t>申报单位用户登录成功后，选择“工信局”按钮，进入相应的政策申报模块。</w:t>
      </w:r>
    </w:p>
    <w:p>
      <w:pPr>
        <w:pStyle w:val="2"/>
        <w:ind w:firstLine="0" w:firstLineChars="0"/>
        <w:rPr>
          <w:rFonts w:eastAsia="宋体"/>
          <w:szCs w:val="24"/>
        </w:rPr>
      </w:pPr>
    </w:p>
    <w:p>
      <w:pPr>
        <w:ind w:firstLine="480"/>
        <w:rPr>
          <w:szCs w:val="24"/>
        </w:rPr>
      </w:pPr>
      <w:r>
        <w:rPr>
          <w:szCs w:val="24"/>
        </w:rPr>
        <w:drawing>
          <wp:inline distT="0" distB="0" distL="114300" distR="114300">
            <wp:extent cx="5266690" cy="2966085"/>
            <wp:effectExtent l="0" t="0" r="10160" b="5715"/>
            <wp:docPr id="3" name="图片 4" descr="637967e0466342290f6c3b5db4a6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637967e0466342290f6c3b5db4a6ab5"/>
                    <pic:cNvPicPr>
                      <a:picLocks noChangeAspect="1"/>
                    </pic:cNvPicPr>
                  </pic:nvPicPr>
                  <pic:blipFill>
                    <a:blip r:embed="rId37"/>
                    <a:stretch>
                      <a:fillRect/>
                    </a:stretch>
                  </pic:blipFill>
                  <pic:spPr>
                    <a:xfrm>
                      <a:off x="0" y="0"/>
                      <a:ext cx="5266690" cy="2966085"/>
                    </a:xfrm>
                    <a:prstGeom prst="rect">
                      <a:avLst/>
                    </a:prstGeom>
                    <a:noFill/>
                    <a:ln>
                      <a:noFill/>
                    </a:ln>
                  </pic:spPr>
                </pic:pic>
              </a:graphicData>
            </a:graphic>
          </wp:inline>
        </w:drawing>
      </w:r>
    </w:p>
    <w:p>
      <w:pPr>
        <w:ind w:firstLine="480"/>
        <w:rPr>
          <w:szCs w:val="24"/>
        </w:rPr>
      </w:pPr>
    </w:p>
    <w:p>
      <w:pPr>
        <w:ind w:firstLine="480"/>
        <w:rPr>
          <w:szCs w:val="24"/>
        </w:rPr>
      </w:pPr>
      <w:r>
        <w:rPr>
          <w:rFonts w:hint="eastAsia"/>
          <w:szCs w:val="24"/>
        </w:rPr>
        <w:t>未认证审核用户只能看到单位设置菜单,且首次</w:t>
      </w:r>
      <w:r>
        <w:rPr>
          <w:rFonts w:hint="eastAsia"/>
          <w:szCs w:val="24"/>
          <w:lang w:eastAsia="zh-CN"/>
        </w:rPr>
        <w:t>登录</w:t>
      </w:r>
      <w:r>
        <w:rPr>
          <w:rFonts w:hint="eastAsia"/>
          <w:szCs w:val="24"/>
        </w:rPr>
        <w:t>需要修改密码，如下：</w:t>
      </w:r>
    </w:p>
    <w:p>
      <w:pPr>
        <w:ind w:firstLine="480"/>
        <w:rPr>
          <w:szCs w:val="24"/>
        </w:rPr>
      </w:pPr>
      <w:r>
        <w:rPr>
          <w:szCs w:val="24"/>
        </w:rPr>
        <w:drawing>
          <wp:inline distT="0" distB="0" distL="114300" distR="114300">
            <wp:extent cx="5274310" cy="2515235"/>
            <wp:effectExtent l="0" t="0" r="2540" b="1841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38"/>
                    <a:stretch>
                      <a:fillRect/>
                    </a:stretch>
                  </pic:blipFill>
                  <pic:spPr>
                    <a:xfrm>
                      <a:off x="0" y="0"/>
                      <a:ext cx="5274310" cy="2515235"/>
                    </a:xfrm>
                    <a:prstGeom prst="rect">
                      <a:avLst/>
                    </a:prstGeom>
                    <a:noFill/>
                    <a:ln>
                      <a:noFill/>
                    </a:ln>
                  </pic:spPr>
                </pic:pic>
              </a:graphicData>
            </a:graphic>
          </wp:inline>
        </w:drawing>
      </w:r>
    </w:p>
    <w:p>
      <w:pPr>
        <w:ind w:firstLine="480"/>
        <w:rPr>
          <w:szCs w:val="24"/>
        </w:rPr>
      </w:pPr>
    </w:p>
    <w:p>
      <w:pPr>
        <w:ind w:firstLine="480"/>
        <w:rPr>
          <w:szCs w:val="24"/>
        </w:rPr>
      </w:pPr>
      <w:r>
        <w:rPr>
          <w:rFonts w:hint="eastAsia"/>
          <w:szCs w:val="24"/>
        </w:rPr>
        <w:t>认证审核通过的注册用户，则可以看到全部功能菜单：</w:t>
      </w:r>
    </w:p>
    <w:p>
      <w:pPr>
        <w:pStyle w:val="2"/>
        <w:ind w:firstLine="240"/>
        <w:rPr>
          <w:rFonts w:eastAsia="宋体"/>
          <w:szCs w:val="24"/>
        </w:rPr>
      </w:pPr>
    </w:p>
    <w:p>
      <w:pPr>
        <w:ind w:firstLine="480"/>
        <w:rPr>
          <w:szCs w:val="24"/>
        </w:rPr>
      </w:pPr>
      <w:r>
        <w:rPr>
          <w:szCs w:val="24"/>
        </w:rPr>
        <w:drawing>
          <wp:inline distT="0" distB="0" distL="114300" distR="114300">
            <wp:extent cx="5266690" cy="2594610"/>
            <wp:effectExtent l="0" t="0" r="10160" b="1524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39"/>
                    <a:stretch>
                      <a:fillRect/>
                    </a:stretch>
                  </pic:blipFill>
                  <pic:spPr>
                    <a:xfrm>
                      <a:off x="0" y="0"/>
                      <a:ext cx="5266690" cy="2594610"/>
                    </a:xfrm>
                    <a:prstGeom prst="rect">
                      <a:avLst/>
                    </a:prstGeom>
                    <a:noFill/>
                    <a:ln>
                      <a:noFill/>
                    </a:ln>
                  </pic:spPr>
                </pic:pic>
              </a:graphicData>
            </a:graphic>
          </wp:inline>
        </w:drawing>
      </w:r>
    </w:p>
    <w:p>
      <w:pPr>
        <w:ind w:firstLine="480"/>
        <w:rPr>
          <w:szCs w:val="24"/>
        </w:rPr>
      </w:pPr>
      <w:r>
        <w:rPr>
          <w:szCs w:val="24"/>
        </w:rPr>
        <w:drawing>
          <wp:inline distT="0" distB="0" distL="114300" distR="114300">
            <wp:extent cx="5272405" cy="2582545"/>
            <wp:effectExtent l="0" t="0" r="4445" b="825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40"/>
                    <a:stretch>
                      <a:fillRect/>
                    </a:stretch>
                  </pic:blipFill>
                  <pic:spPr>
                    <a:xfrm>
                      <a:off x="0" y="0"/>
                      <a:ext cx="5272405" cy="2582545"/>
                    </a:xfrm>
                    <a:prstGeom prst="rect">
                      <a:avLst/>
                    </a:prstGeom>
                    <a:noFill/>
                    <a:ln>
                      <a:noFill/>
                    </a:ln>
                  </pic:spPr>
                </pic:pic>
              </a:graphicData>
            </a:graphic>
          </wp:inline>
        </w:drawing>
      </w:r>
      <w:r>
        <w:rPr>
          <w:szCs w:val="24"/>
        </w:rPr>
        <w:drawing>
          <wp:inline distT="0" distB="0" distL="114300" distR="114300">
            <wp:extent cx="5272405" cy="2582545"/>
            <wp:effectExtent l="0" t="0" r="4445" b="8255"/>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40"/>
                    <a:stretch>
                      <a:fillRect/>
                    </a:stretch>
                  </pic:blipFill>
                  <pic:spPr>
                    <a:xfrm>
                      <a:off x="0" y="0"/>
                      <a:ext cx="5272405" cy="2582545"/>
                    </a:xfrm>
                    <a:prstGeom prst="rect">
                      <a:avLst/>
                    </a:prstGeom>
                    <a:noFill/>
                    <a:ln>
                      <a:noFill/>
                    </a:ln>
                  </pic:spPr>
                </pic:pic>
              </a:graphicData>
            </a:graphic>
          </wp:inline>
        </w:drawing>
      </w:r>
    </w:p>
    <w:p>
      <w:pPr>
        <w:ind w:firstLine="480"/>
        <w:jc w:val="center"/>
        <w:rPr>
          <w:szCs w:val="24"/>
        </w:rPr>
      </w:pPr>
    </w:p>
    <w:p>
      <w:pPr>
        <w:pStyle w:val="7"/>
        <w:numPr>
          <w:ilvl w:val="3"/>
          <w:numId w:val="4"/>
        </w:numPr>
        <w:spacing w:before="0" w:after="0" w:line="560" w:lineRule="exact"/>
        <w:ind w:left="0" w:firstLine="482"/>
        <w:rPr>
          <w:rFonts w:eastAsia="宋体"/>
          <w:sz w:val="24"/>
          <w:szCs w:val="24"/>
        </w:rPr>
      </w:pPr>
      <w:r>
        <w:rPr>
          <w:rFonts w:hint="eastAsia" w:eastAsia="宋体"/>
          <w:sz w:val="24"/>
          <w:szCs w:val="24"/>
        </w:rPr>
        <w:t>密码重置</w:t>
      </w:r>
    </w:p>
    <w:p>
      <w:pPr>
        <w:pStyle w:val="56"/>
        <w:keepNext/>
        <w:keepLines/>
        <w:numPr>
          <w:ilvl w:val="3"/>
          <w:numId w:val="6"/>
        </w:numPr>
        <w:tabs>
          <w:tab w:val="left" w:pos="1008"/>
        </w:tabs>
        <w:spacing w:line="560" w:lineRule="exact"/>
        <w:ind w:left="0" w:firstLine="482"/>
        <w:outlineLvl w:val="3"/>
        <w:rPr>
          <w:b/>
          <w:bCs/>
          <w:vanish/>
          <w:sz w:val="24"/>
          <w:szCs w:val="24"/>
        </w:rPr>
      </w:pPr>
    </w:p>
    <w:p>
      <w:pPr>
        <w:pStyle w:val="8"/>
        <w:numPr>
          <w:ilvl w:val="4"/>
          <w:numId w:val="6"/>
        </w:numPr>
        <w:spacing w:before="0" w:after="0" w:line="560" w:lineRule="exact"/>
        <w:ind w:left="0" w:firstLine="482"/>
        <w:jc w:val="both"/>
        <w:rPr>
          <w:rFonts w:eastAsia="宋体"/>
          <w:szCs w:val="24"/>
        </w:rPr>
      </w:pPr>
      <w:r>
        <w:rPr>
          <w:rFonts w:hint="eastAsia" w:eastAsia="宋体"/>
          <w:szCs w:val="24"/>
        </w:rPr>
        <w:t>业务</w:t>
      </w:r>
      <w:r>
        <w:rPr>
          <w:rFonts w:eastAsia="宋体"/>
          <w:szCs w:val="24"/>
        </w:rPr>
        <w:t>概述</w:t>
      </w:r>
    </w:p>
    <w:p>
      <w:pPr>
        <w:spacing w:line="560" w:lineRule="exact"/>
        <w:ind w:firstLine="480"/>
        <w:rPr>
          <w:szCs w:val="24"/>
        </w:rPr>
      </w:pPr>
      <w:r>
        <w:rPr>
          <w:rFonts w:hint="eastAsia"/>
          <w:szCs w:val="24"/>
        </w:rPr>
        <w:t>当已注册认证账户的申报单位用户忘记密码时，点击“忘记密码”按钮，进行密码重置。</w:t>
      </w:r>
    </w:p>
    <w:p>
      <w:pPr>
        <w:ind w:firstLine="480"/>
        <w:rPr>
          <w:szCs w:val="24"/>
        </w:rPr>
      </w:pPr>
      <w:r>
        <w:rPr>
          <w:szCs w:val="24"/>
        </w:rPr>
        <w:drawing>
          <wp:inline distT="0" distB="0" distL="114300" distR="114300">
            <wp:extent cx="5263515" cy="2679065"/>
            <wp:effectExtent l="0" t="0" r="13335" b="698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41"/>
                    <a:stretch>
                      <a:fillRect/>
                    </a:stretch>
                  </pic:blipFill>
                  <pic:spPr>
                    <a:xfrm>
                      <a:off x="0" y="0"/>
                      <a:ext cx="5263515" cy="2679065"/>
                    </a:xfrm>
                    <a:prstGeom prst="rect">
                      <a:avLst/>
                    </a:prstGeom>
                    <a:noFill/>
                    <a:ln>
                      <a:noFill/>
                    </a:ln>
                  </pic:spPr>
                </pic:pic>
              </a:graphicData>
            </a:graphic>
          </wp:inline>
        </w:drawing>
      </w:r>
    </w:p>
    <w:p>
      <w:pPr>
        <w:ind w:firstLine="480"/>
        <w:jc w:val="center"/>
        <w:rPr>
          <w:szCs w:val="24"/>
        </w:rPr>
      </w:pPr>
    </w:p>
    <w:p>
      <w:pPr>
        <w:pStyle w:val="6"/>
        <w:numPr>
          <w:ilvl w:val="2"/>
          <w:numId w:val="4"/>
        </w:numPr>
        <w:spacing w:before="0" w:after="0" w:line="560" w:lineRule="exact"/>
        <w:ind w:left="0" w:firstLine="482"/>
        <w:rPr>
          <w:szCs w:val="24"/>
        </w:rPr>
      </w:pPr>
      <w:bookmarkStart w:id="37" w:name="_Toc102485705"/>
      <w:bookmarkStart w:id="38" w:name="_Toc138949327"/>
      <w:r>
        <w:rPr>
          <w:rFonts w:hint="eastAsia"/>
          <w:szCs w:val="24"/>
        </w:rPr>
        <w:t>单位</w:t>
      </w:r>
      <w:bookmarkEnd w:id="37"/>
      <w:r>
        <w:rPr>
          <w:rFonts w:hint="eastAsia"/>
          <w:szCs w:val="24"/>
        </w:rPr>
        <w:t>设置</w:t>
      </w:r>
      <w:bookmarkEnd w:id="38"/>
    </w:p>
    <w:p>
      <w:pPr>
        <w:pStyle w:val="7"/>
        <w:numPr>
          <w:ilvl w:val="3"/>
          <w:numId w:val="4"/>
        </w:numPr>
        <w:spacing w:before="0" w:after="0" w:line="560" w:lineRule="exact"/>
        <w:ind w:left="0" w:firstLine="482"/>
        <w:rPr>
          <w:rFonts w:eastAsia="宋体"/>
          <w:sz w:val="24"/>
          <w:szCs w:val="24"/>
        </w:rPr>
      </w:pPr>
      <w:r>
        <w:rPr>
          <w:rFonts w:hint="eastAsia" w:eastAsia="宋体"/>
          <w:sz w:val="24"/>
          <w:szCs w:val="24"/>
        </w:rPr>
        <w:t>单位认证信息修改</w:t>
      </w:r>
    </w:p>
    <w:p>
      <w:pPr>
        <w:pStyle w:val="56"/>
        <w:keepNext/>
        <w:keepLines/>
        <w:numPr>
          <w:ilvl w:val="0"/>
          <w:numId w:val="1"/>
        </w:numPr>
        <w:tabs>
          <w:tab w:val="left" w:pos="1008"/>
        </w:tabs>
        <w:spacing w:line="560" w:lineRule="exact"/>
        <w:ind w:left="0" w:firstLine="482"/>
        <w:outlineLvl w:val="3"/>
        <w:rPr>
          <w:b/>
          <w:bCs/>
          <w:vanish/>
          <w:sz w:val="24"/>
          <w:szCs w:val="24"/>
        </w:rPr>
      </w:pPr>
    </w:p>
    <w:p>
      <w:pPr>
        <w:pStyle w:val="56"/>
        <w:keepNext/>
        <w:keepLines/>
        <w:numPr>
          <w:ilvl w:val="0"/>
          <w:numId w:val="1"/>
        </w:numPr>
        <w:tabs>
          <w:tab w:val="left" w:pos="1008"/>
        </w:tabs>
        <w:spacing w:line="560" w:lineRule="exact"/>
        <w:ind w:left="0" w:firstLine="482"/>
        <w:jc w:val="left"/>
        <w:outlineLvl w:val="4"/>
        <w:rPr>
          <w:b/>
          <w:bCs/>
          <w:vanish/>
          <w:sz w:val="24"/>
          <w:szCs w:val="24"/>
        </w:rPr>
      </w:pPr>
    </w:p>
    <w:p>
      <w:pPr>
        <w:pStyle w:val="56"/>
        <w:keepNext/>
        <w:keepLines/>
        <w:numPr>
          <w:ilvl w:val="1"/>
          <w:numId w:val="1"/>
        </w:numPr>
        <w:tabs>
          <w:tab w:val="left" w:pos="1008"/>
        </w:tabs>
        <w:spacing w:line="560" w:lineRule="exact"/>
        <w:ind w:left="0" w:firstLine="482"/>
        <w:jc w:val="left"/>
        <w:outlineLvl w:val="4"/>
        <w:rPr>
          <w:b/>
          <w:bCs/>
          <w:vanish/>
          <w:sz w:val="24"/>
          <w:szCs w:val="24"/>
        </w:rPr>
      </w:pPr>
    </w:p>
    <w:p>
      <w:pPr>
        <w:pStyle w:val="56"/>
        <w:keepNext/>
        <w:keepLines/>
        <w:numPr>
          <w:ilvl w:val="2"/>
          <w:numId w:val="1"/>
        </w:numPr>
        <w:tabs>
          <w:tab w:val="left" w:pos="1008"/>
        </w:tabs>
        <w:spacing w:line="560" w:lineRule="exact"/>
        <w:ind w:left="0" w:firstLine="482"/>
        <w:jc w:val="left"/>
        <w:outlineLvl w:val="4"/>
        <w:rPr>
          <w:b/>
          <w:bCs/>
          <w:vanish/>
          <w:sz w:val="24"/>
          <w:szCs w:val="24"/>
        </w:rPr>
      </w:pPr>
    </w:p>
    <w:p>
      <w:pPr>
        <w:pStyle w:val="56"/>
        <w:keepNext/>
        <w:keepLines/>
        <w:numPr>
          <w:ilvl w:val="2"/>
          <w:numId w:val="1"/>
        </w:numPr>
        <w:tabs>
          <w:tab w:val="left" w:pos="1008"/>
        </w:tabs>
        <w:spacing w:line="560" w:lineRule="exact"/>
        <w:ind w:left="0" w:firstLine="482"/>
        <w:jc w:val="left"/>
        <w:outlineLvl w:val="4"/>
        <w:rPr>
          <w:b/>
          <w:bCs/>
          <w:vanish/>
          <w:sz w:val="24"/>
          <w:szCs w:val="24"/>
        </w:rPr>
      </w:pPr>
    </w:p>
    <w:p>
      <w:pPr>
        <w:pStyle w:val="56"/>
        <w:keepNext/>
        <w:keepLines/>
        <w:numPr>
          <w:ilvl w:val="3"/>
          <w:numId w:val="1"/>
        </w:numPr>
        <w:tabs>
          <w:tab w:val="left" w:pos="1008"/>
        </w:tabs>
        <w:spacing w:line="560" w:lineRule="exact"/>
        <w:ind w:left="0" w:firstLine="482"/>
        <w:jc w:val="left"/>
        <w:outlineLvl w:val="4"/>
        <w:rPr>
          <w:b/>
          <w:bCs/>
          <w:vanish/>
          <w:sz w:val="24"/>
          <w:szCs w:val="24"/>
        </w:rPr>
      </w:pPr>
    </w:p>
    <w:p>
      <w:pPr>
        <w:pStyle w:val="8"/>
        <w:spacing w:before="0" w:after="0" w:line="560" w:lineRule="exact"/>
        <w:ind w:left="0" w:firstLine="482"/>
        <w:rPr>
          <w:rFonts w:eastAsia="宋体"/>
          <w:szCs w:val="24"/>
        </w:rPr>
      </w:pPr>
      <w:r>
        <w:rPr>
          <w:rFonts w:hint="eastAsia" w:eastAsia="宋体"/>
          <w:szCs w:val="24"/>
        </w:rPr>
        <w:t>业务概述</w:t>
      </w:r>
    </w:p>
    <w:p>
      <w:pPr>
        <w:spacing w:line="560" w:lineRule="exact"/>
        <w:ind w:firstLine="480"/>
        <w:rPr>
          <w:szCs w:val="24"/>
        </w:rPr>
      </w:pPr>
      <w:r>
        <w:rPr>
          <w:rFonts w:hint="eastAsia"/>
          <w:szCs w:val="24"/>
        </w:rPr>
        <w:t>当申报单位用户已完成注册认证后，需要变更单位认证信息，则在单位信息模块选择单位认证信息修改功能，进行单位认证信息修改，提交审核，审核通过则认证信息变更成功；若审核不通过，则变更失败，同时会发短信到单位用户手机。</w:t>
      </w:r>
    </w:p>
    <w:p>
      <w:pPr>
        <w:ind w:firstLine="480"/>
        <w:rPr>
          <w:szCs w:val="24"/>
        </w:rPr>
      </w:pPr>
      <w:r>
        <w:rPr>
          <w:szCs w:val="24"/>
        </w:rPr>
        <w:drawing>
          <wp:inline distT="0" distB="0" distL="114300" distR="114300">
            <wp:extent cx="5274310" cy="2557780"/>
            <wp:effectExtent l="0" t="0" r="2540" b="1397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42"/>
                    <a:stretch>
                      <a:fillRect/>
                    </a:stretch>
                  </pic:blipFill>
                  <pic:spPr>
                    <a:xfrm>
                      <a:off x="0" y="0"/>
                      <a:ext cx="5274310" cy="2557780"/>
                    </a:xfrm>
                    <a:prstGeom prst="rect">
                      <a:avLst/>
                    </a:prstGeom>
                    <a:noFill/>
                    <a:ln>
                      <a:noFill/>
                    </a:ln>
                  </pic:spPr>
                </pic:pic>
              </a:graphicData>
            </a:graphic>
          </wp:inline>
        </w:drawing>
      </w:r>
    </w:p>
    <w:p>
      <w:pPr>
        <w:ind w:firstLine="480"/>
        <w:rPr>
          <w:szCs w:val="24"/>
        </w:rPr>
      </w:pPr>
    </w:p>
    <w:p>
      <w:pPr>
        <w:spacing w:line="560" w:lineRule="exact"/>
        <w:ind w:firstLine="480"/>
        <w:rPr>
          <w:szCs w:val="24"/>
        </w:rPr>
      </w:pPr>
      <w:r>
        <w:rPr>
          <w:rFonts w:hint="eastAsia"/>
          <w:szCs w:val="24"/>
        </w:rPr>
        <w:t>点击修改认证信息后提交</w:t>
      </w:r>
    </w:p>
    <w:p>
      <w:pPr>
        <w:spacing w:line="560" w:lineRule="exact"/>
        <w:ind w:firstLine="480"/>
        <w:jc w:val="center"/>
        <w:rPr>
          <w:szCs w:val="24"/>
        </w:rPr>
      </w:pPr>
    </w:p>
    <w:p>
      <w:pPr>
        <w:pStyle w:val="7"/>
        <w:numPr>
          <w:ilvl w:val="3"/>
          <w:numId w:val="4"/>
        </w:numPr>
        <w:spacing w:before="0" w:after="0" w:line="560" w:lineRule="exact"/>
        <w:ind w:left="0" w:firstLine="482"/>
        <w:rPr>
          <w:rFonts w:eastAsia="宋体"/>
          <w:sz w:val="24"/>
          <w:szCs w:val="24"/>
        </w:rPr>
      </w:pPr>
      <w:r>
        <w:rPr>
          <w:rFonts w:hint="eastAsia" w:eastAsia="宋体"/>
          <w:sz w:val="24"/>
          <w:szCs w:val="24"/>
        </w:rPr>
        <w:t>单位基本信息维护</w:t>
      </w:r>
    </w:p>
    <w:p>
      <w:pPr>
        <w:pStyle w:val="56"/>
        <w:keepNext/>
        <w:keepLines/>
        <w:numPr>
          <w:ilvl w:val="0"/>
          <w:numId w:val="8"/>
        </w:numPr>
        <w:tabs>
          <w:tab w:val="left" w:pos="1008"/>
        </w:tabs>
        <w:spacing w:line="560" w:lineRule="exact"/>
        <w:ind w:left="0" w:firstLine="482"/>
        <w:jc w:val="left"/>
        <w:outlineLvl w:val="4"/>
        <w:rPr>
          <w:b/>
          <w:bCs/>
          <w:vanish/>
          <w:sz w:val="24"/>
          <w:szCs w:val="24"/>
        </w:rPr>
      </w:pPr>
    </w:p>
    <w:p>
      <w:pPr>
        <w:pStyle w:val="56"/>
        <w:keepNext/>
        <w:keepLines/>
        <w:numPr>
          <w:ilvl w:val="0"/>
          <w:numId w:val="8"/>
        </w:numPr>
        <w:tabs>
          <w:tab w:val="left" w:pos="1008"/>
        </w:tabs>
        <w:spacing w:line="560" w:lineRule="exact"/>
        <w:ind w:left="0" w:firstLine="482"/>
        <w:jc w:val="left"/>
        <w:outlineLvl w:val="4"/>
        <w:rPr>
          <w:b/>
          <w:bCs/>
          <w:vanish/>
          <w:sz w:val="24"/>
          <w:szCs w:val="24"/>
        </w:rPr>
      </w:pPr>
    </w:p>
    <w:p>
      <w:pPr>
        <w:pStyle w:val="56"/>
        <w:keepNext/>
        <w:keepLines/>
        <w:numPr>
          <w:ilvl w:val="1"/>
          <w:numId w:val="8"/>
        </w:numPr>
        <w:tabs>
          <w:tab w:val="left" w:pos="1008"/>
        </w:tabs>
        <w:spacing w:line="560" w:lineRule="exact"/>
        <w:ind w:left="0" w:firstLine="482"/>
        <w:jc w:val="left"/>
        <w:outlineLvl w:val="4"/>
        <w:rPr>
          <w:b/>
          <w:bCs/>
          <w:vanish/>
          <w:sz w:val="24"/>
          <w:szCs w:val="24"/>
        </w:rPr>
      </w:pPr>
    </w:p>
    <w:p>
      <w:pPr>
        <w:pStyle w:val="56"/>
        <w:keepNext/>
        <w:keepLines/>
        <w:numPr>
          <w:ilvl w:val="2"/>
          <w:numId w:val="8"/>
        </w:numPr>
        <w:tabs>
          <w:tab w:val="left" w:pos="1008"/>
        </w:tabs>
        <w:spacing w:line="560" w:lineRule="exact"/>
        <w:ind w:left="0" w:firstLine="482"/>
        <w:jc w:val="left"/>
        <w:outlineLvl w:val="4"/>
        <w:rPr>
          <w:b/>
          <w:bCs/>
          <w:vanish/>
          <w:sz w:val="24"/>
          <w:szCs w:val="24"/>
        </w:rPr>
      </w:pPr>
    </w:p>
    <w:p>
      <w:pPr>
        <w:pStyle w:val="56"/>
        <w:keepNext/>
        <w:keepLines/>
        <w:numPr>
          <w:ilvl w:val="2"/>
          <w:numId w:val="8"/>
        </w:numPr>
        <w:tabs>
          <w:tab w:val="left" w:pos="1008"/>
        </w:tabs>
        <w:spacing w:line="560" w:lineRule="exact"/>
        <w:ind w:left="0" w:firstLine="482"/>
        <w:jc w:val="left"/>
        <w:outlineLvl w:val="4"/>
        <w:rPr>
          <w:b/>
          <w:bCs/>
          <w:vanish/>
          <w:sz w:val="24"/>
          <w:szCs w:val="24"/>
        </w:rPr>
      </w:pPr>
    </w:p>
    <w:p>
      <w:pPr>
        <w:pStyle w:val="56"/>
        <w:keepNext/>
        <w:keepLines/>
        <w:numPr>
          <w:ilvl w:val="3"/>
          <w:numId w:val="8"/>
        </w:numPr>
        <w:tabs>
          <w:tab w:val="left" w:pos="1008"/>
        </w:tabs>
        <w:spacing w:line="560" w:lineRule="exact"/>
        <w:ind w:left="0" w:firstLine="482"/>
        <w:jc w:val="left"/>
        <w:outlineLvl w:val="4"/>
        <w:rPr>
          <w:b/>
          <w:bCs/>
          <w:vanish/>
          <w:sz w:val="24"/>
          <w:szCs w:val="24"/>
        </w:rPr>
      </w:pPr>
    </w:p>
    <w:p>
      <w:pPr>
        <w:pStyle w:val="56"/>
        <w:keepNext/>
        <w:keepLines/>
        <w:numPr>
          <w:ilvl w:val="3"/>
          <w:numId w:val="8"/>
        </w:numPr>
        <w:tabs>
          <w:tab w:val="left" w:pos="1008"/>
        </w:tabs>
        <w:spacing w:line="560" w:lineRule="exact"/>
        <w:ind w:left="0" w:firstLine="482"/>
        <w:jc w:val="left"/>
        <w:outlineLvl w:val="4"/>
        <w:rPr>
          <w:b/>
          <w:bCs/>
          <w:vanish/>
          <w:sz w:val="24"/>
          <w:szCs w:val="24"/>
        </w:rPr>
      </w:pPr>
    </w:p>
    <w:p>
      <w:pPr>
        <w:pStyle w:val="56"/>
        <w:keepNext/>
        <w:keepLines/>
        <w:numPr>
          <w:ilvl w:val="3"/>
          <w:numId w:val="8"/>
        </w:numPr>
        <w:tabs>
          <w:tab w:val="left" w:pos="1008"/>
        </w:tabs>
        <w:spacing w:line="560" w:lineRule="exact"/>
        <w:ind w:left="0" w:firstLine="482"/>
        <w:jc w:val="left"/>
        <w:outlineLvl w:val="4"/>
        <w:rPr>
          <w:b/>
          <w:bCs/>
          <w:vanish/>
          <w:sz w:val="24"/>
          <w:szCs w:val="24"/>
        </w:rPr>
      </w:pPr>
    </w:p>
    <w:p>
      <w:pPr>
        <w:pStyle w:val="8"/>
        <w:numPr>
          <w:ilvl w:val="4"/>
          <w:numId w:val="8"/>
        </w:numPr>
        <w:spacing w:before="0" w:after="0" w:line="560" w:lineRule="exact"/>
        <w:ind w:left="0" w:firstLine="482"/>
        <w:jc w:val="both"/>
        <w:rPr>
          <w:rFonts w:eastAsia="宋体"/>
          <w:szCs w:val="24"/>
        </w:rPr>
      </w:pPr>
      <w:r>
        <w:rPr>
          <w:rFonts w:hint="eastAsia" w:eastAsia="宋体"/>
          <w:szCs w:val="24"/>
        </w:rPr>
        <w:t>业务</w:t>
      </w:r>
      <w:r>
        <w:rPr>
          <w:rFonts w:eastAsia="宋体"/>
          <w:szCs w:val="24"/>
        </w:rPr>
        <w:t>概述</w:t>
      </w:r>
    </w:p>
    <w:p>
      <w:pPr>
        <w:keepNext/>
        <w:keepLines/>
        <w:numPr>
          <w:ilvl w:val="0"/>
          <w:numId w:val="9"/>
        </w:numPr>
        <w:spacing w:line="560" w:lineRule="exact"/>
        <w:ind w:left="0" w:firstLine="480"/>
        <w:outlineLvl w:val="3"/>
        <w:rPr>
          <w:szCs w:val="24"/>
        </w:rPr>
      </w:pPr>
      <w:r>
        <w:rPr>
          <w:rFonts w:hint="eastAsia"/>
          <w:szCs w:val="24"/>
        </w:rPr>
        <w:t>当申报单位注册认证成功，登录平台页面时，需先选择拟申报资助单位（科创局/工信局），录入该局所需录入的基本信息，才可进行资金申报等后续业务。</w:t>
      </w:r>
    </w:p>
    <w:p>
      <w:pPr>
        <w:ind w:left="420" w:firstLine="480"/>
        <w:rPr>
          <w:szCs w:val="24"/>
        </w:rPr>
      </w:pPr>
      <w:r>
        <w:rPr>
          <w:szCs w:val="24"/>
        </w:rPr>
        <w:drawing>
          <wp:inline distT="0" distB="0" distL="114300" distR="114300">
            <wp:extent cx="5272405" cy="2579370"/>
            <wp:effectExtent l="0" t="0" r="4445" b="11430"/>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43"/>
                    <a:stretch>
                      <a:fillRect/>
                    </a:stretch>
                  </pic:blipFill>
                  <pic:spPr>
                    <a:xfrm>
                      <a:off x="0" y="0"/>
                      <a:ext cx="5272405" cy="2579370"/>
                    </a:xfrm>
                    <a:prstGeom prst="rect">
                      <a:avLst/>
                    </a:prstGeom>
                    <a:noFill/>
                    <a:ln>
                      <a:noFill/>
                    </a:ln>
                  </pic:spPr>
                </pic:pic>
              </a:graphicData>
            </a:graphic>
          </wp:inline>
        </w:drawing>
      </w:r>
    </w:p>
    <w:p>
      <w:pPr>
        <w:ind w:left="420" w:firstLine="480"/>
        <w:rPr>
          <w:szCs w:val="24"/>
        </w:rPr>
      </w:pPr>
      <w:r>
        <w:rPr>
          <w:szCs w:val="24"/>
        </w:rPr>
        <w:drawing>
          <wp:inline distT="0" distB="0" distL="114300" distR="114300">
            <wp:extent cx="5269865" cy="2562225"/>
            <wp:effectExtent l="0" t="0" r="6985" b="9525"/>
            <wp:docPr id="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pic:cNvPicPr>
                      <a:picLocks noChangeAspect="1"/>
                    </pic:cNvPicPr>
                  </pic:nvPicPr>
                  <pic:blipFill>
                    <a:blip r:embed="rId44"/>
                    <a:stretch>
                      <a:fillRect/>
                    </a:stretch>
                  </pic:blipFill>
                  <pic:spPr>
                    <a:xfrm>
                      <a:off x="0" y="0"/>
                      <a:ext cx="5269865" cy="2562225"/>
                    </a:xfrm>
                    <a:prstGeom prst="rect">
                      <a:avLst/>
                    </a:prstGeom>
                    <a:noFill/>
                    <a:ln>
                      <a:noFill/>
                    </a:ln>
                  </pic:spPr>
                </pic:pic>
              </a:graphicData>
            </a:graphic>
          </wp:inline>
        </w:drawing>
      </w:r>
    </w:p>
    <w:p>
      <w:pPr>
        <w:ind w:left="420" w:firstLine="480"/>
        <w:rPr>
          <w:szCs w:val="24"/>
        </w:rPr>
      </w:pPr>
    </w:p>
    <w:p>
      <w:pPr>
        <w:ind w:left="420" w:firstLine="480"/>
        <w:rPr>
          <w:szCs w:val="24"/>
        </w:rPr>
      </w:pPr>
    </w:p>
    <w:p>
      <w:pPr>
        <w:numPr>
          <w:ilvl w:val="0"/>
          <w:numId w:val="9"/>
        </w:numPr>
        <w:ind w:left="0" w:firstLine="480"/>
        <w:rPr>
          <w:szCs w:val="24"/>
        </w:rPr>
      </w:pPr>
      <w:r>
        <w:rPr>
          <w:rFonts w:hint="eastAsia"/>
          <w:szCs w:val="24"/>
        </w:rPr>
        <w:t>填写完单位基本情况，可选择暂存或提交，再填写其他标签项。</w:t>
      </w:r>
    </w:p>
    <w:p>
      <w:pPr>
        <w:pStyle w:val="2"/>
        <w:ind w:firstLine="240"/>
        <w:rPr>
          <w:rFonts w:eastAsia="宋体"/>
          <w:szCs w:val="24"/>
        </w:rPr>
      </w:pPr>
    </w:p>
    <w:p>
      <w:pPr>
        <w:ind w:left="420" w:firstLine="480"/>
        <w:rPr>
          <w:szCs w:val="24"/>
        </w:rPr>
      </w:pPr>
      <w:r>
        <w:rPr>
          <w:szCs w:val="24"/>
        </w:rPr>
        <w:drawing>
          <wp:inline distT="0" distB="0" distL="114300" distR="114300">
            <wp:extent cx="5272405" cy="2569210"/>
            <wp:effectExtent l="0" t="0" r="4445" b="2540"/>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45"/>
                    <a:stretch>
                      <a:fillRect/>
                    </a:stretch>
                  </pic:blipFill>
                  <pic:spPr>
                    <a:xfrm>
                      <a:off x="0" y="0"/>
                      <a:ext cx="5272405" cy="2569210"/>
                    </a:xfrm>
                    <a:prstGeom prst="rect">
                      <a:avLst/>
                    </a:prstGeom>
                    <a:noFill/>
                    <a:ln>
                      <a:noFill/>
                    </a:ln>
                  </pic:spPr>
                </pic:pic>
              </a:graphicData>
            </a:graphic>
          </wp:inline>
        </w:drawing>
      </w:r>
    </w:p>
    <w:p>
      <w:pPr>
        <w:pStyle w:val="7"/>
        <w:numPr>
          <w:ilvl w:val="3"/>
          <w:numId w:val="4"/>
        </w:numPr>
        <w:spacing w:before="0" w:after="0" w:line="560" w:lineRule="exact"/>
        <w:ind w:left="0" w:firstLine="482"/>
        <w:rPr>
          <w:rFonts w:eastAsia="宋体"/>
          <w:sz w:val="24"/>
          <w:szCs w:val="24"/>
        </w:rPr>
      </w:pPr>
      <w:r>
        <w:rPr>
          <w:rFonts w:hint="eastAsia" w:eastAsia="宋体"/>
          <w:sz w:val="24"/>
          <w:szCs w:val="24"/>
        </w:rPr>
        <w:t>密码修改</w:t>
      </w:r>
    </w:p>
    <w:p>
      <w:pPr>
        <w:spacing w:line="560" w:lineRule="exact"/>
        <w:ind w:firstLine="480"/>
        <w:rPr>
          <w:szCs w:val="24"/>
        </w:rPr>
      </w:pPr>
      <w:r>
        <w:rPr>
          <w:rFonts w:hint="eastAsia"/>
          <w:szCs w:val="24"/>
        </w:rPr>
        <w:t>如果单位注册用户想修改密码，则可以将鼠标移到屏幕右上角单位名称区域，出现“修改密码”框后点击。如下图</w:t>
      </w:r>
    </w:p>
    <w:p>
      <w:pPr>
        <w:ind w:firstLine="480"/>
        <w:rPr>
          <w:szCs w:val="24"/>
        </w:rPr>
      </w:pPr>
      <w:r>
        <w:rPr>
          <w:szCs w:val="24"/>
        </w:rPr>
        <w:drawing>
          <wp:inline distT="0" distB="0" distL="114300" distR="114300">
            <wp:extent cx="5263515" cy="2565400"/>
            <wp:effectExtent l="0" t="0" r="13335" b="6350"/>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46"/>
                    <a:stretch>
                      <a:fillRect/>
                    </a:stretch>
                  </pic:blipFill>
                  <pic:spPr>
                    <a:xfrm>
                      <a:off x="0" y="0"/>
                      <a:ext cx="5263515" cy="2565400"/>
                    </a:xfrm>
                    <a:prstGeom prst="rect">
                      <a:avLst/>
                    </a:prstGeom>
                    <a:noFill/>
                    <a:ln>
                      <a:noFill/>
                    </a:ln>
                  </pic:spPr>
                </pic:pic>
              </a:graphicData>
            </a:graphic>
          </wp:inline>
        </w:drawing>
      </w:r>
    </w:p>
    <w:p>
      <w:pPr>
        <w:ind w:firstLine="480"/>
        <w:rPr>
          <w:szCs w:val="24"/>
        </w:rPr>
      </w:pPr>
      <w:r>
        <w:rPr>
          <w:szCs w:val="24"/>
        </w:rPr>
        <w:drawing>
          <wp:inline distT="0" distB="0" distL="114300" distR="114300">
            <wp:extent cx="5272405" cy="1978025"/>
            <wp:effectExtent l="0" t="0" r="4445" b="3175"/>
            <wp:docPr id="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pic:cNvPicPr>
                      <a:picLocks noChangeAspect="1"/>
                    </pic:cNvPicPr>
                  </pic:nvPicPr>
                  <pic:blipFill>
                    <a:blip r:embed="rId47"/>
                    <a:stretch>
                      <a:fillRect/>
                    </a:stretch>
                  </pic:blipFill>
                  <pic:spPr>
                    <a:xfrm>
                      <a:off x="0" y="0"/>
                      <a:ext cx="5272405" cy="1978025"/>
                    </a:xfrm>
                    <a:prstGeom prst="rect">
                      <a:avLst/>
                    </a:prstGeom>
                    <a:noFill/>
                    <a:ln>
                      <a:noFill/>
                    </a:ln>
                  </pic:spPr>
                </pic:pic>
              </a:graphicData>
            </a:graphic>
          </wp:inline>
        </w:drawing>
      </w:r>
    </w:p>
    <w:p>
      <w:pPr>
        <w:pStyle w:val="56"/>
        <w:keepNext/>
        <w:keepLines/>
        <w:numPr>
          <w:ilvl w:val="3"/>
          <w:numId w:val="8"/>
        </w:numPr>
        <w:tabs>
          <w:tab w:val="left" w:pos="1008"/>
        </w:tabs>
        <w:spacing w:before="120" w:after="120" w:line="360" w:lineRule="auto"/>
        <w:ind w:left="0" w:firstLine="482"/>
        <w:jc w:val="left"/>
        <w:outlineLvl w:val="4"/>
        <w:rPr>
          <w:b/>
          <w:bCs/>
          <w:vanish/>
          <w:sz w:val="24"/>
          <w:szCs w:val="24"/>
        </w:rPr>
      </w:pPr>
    </w:p>
    <w:p>
      <w:pPr>
        <w:pStyle w:val="6"/>
        <w:numPr>
          <w:ilvl w:val="2"/>
          <w:numId w:val="4"/>
        </w:numPr>
        <w:spacing w:before="120" w:after="120" w:line="360" w:lineRule="auto"/>
        <w:ind w:left="0" w:firstLine="482"/>
        <w:jc w:val="left"/>
        <w:rPr>
          <w:szCs w:val="24"/>
        </w:rPr>
      </w:pPr>
      <w:bookmarkStart w:id="39" w:name="_Toc102485706"/>
      <w:bookmarkStart w:id="40" w:name="_Toc138949328"/>
      <w:r>
        <w:rPr>
          <w:rFonts w:hint="eastAsia"/>
          <w:szCs w:val="24"/>
        </w:rPr>
        <w:t>政策申报</w:t>
      </w:r>
      <w:bookmarkEnd w:id="39"/>
      <w:bookmarkEnd w:id="40"/>
    </w:p>
    <w:p>
      <w:pPr>
        <w:pStyle w:val="7"/>
        <w:numPr>
          <w:ilvl w:val="3"/>
          <w:numId w:val="4"/>
        </w:numPr>
        <w:spacing w:before="120" w:after="120" w:line="360" w:lineRule="auto"/>
        <w:ind w:left="0" w:firstLine="482"/>
        <w:jc w:val="left"/>
        <w:rPr>
          <w:rFonts w:eastAsia="宋体"/>
          <w:sz w:val="24"/>
          <w:szCs w:val="24"/>
        </w:rPr>
      </w:pPr>
      <w:r>
        <w:rPr>
          <w:rFonts w:hint="eastAsia" w:eastAsia="宋体"/>
          <w:sz w:val="24"/>
          <w:szCs w:val="24"/>
        </w:rPr>
        <w:t>政策介绍及推荐</w:t>
      </w:r>
    </w:p>
    <w:p>
      <w:pPr>
        <w:pStyle w:val="56"/>
        <w:keepNext/>
        <w:keepLines/>
        <w:numPr>
          <w:ilvl w:val="2"/>
          <w:numId w:val="8"/>
        </w:numPr>
        <w:tabs>
          <w:tab w:val="left" w:pos="1008"/>
        </w:tabs>
        <w:spacing w:before="120" w:after="120" w:line="360" w:lineRule="auto"/>
        <w:ind w:left="0" w:firstLine="482"/>
        <w:jc w:val="left"/>
        <w:outlineLvl w:val="4"/>
        <w:rPr>
          <w:b/>
          <w:bCs/>
          <w:vanish/>
          <w:sz w:val="24"/>
          <w:szCs w:val="24"/>
        </w:rPr>
      </w:pPr>
    </w:p>
    <w:p>
      <w:pPr>
        <w:pStyle w:val="56"/>
        <w:keepNext/>
        <w:keepLines/>
        <w:numPr>
          <w:ilvl w:val="3"/>
          <w:numId w:val="8"/>
        </w:numPr>
        <w:tabs>
          <w:tab w:val="left" w:pos="1008"/>
        </w:tabs>
        <w:spacing w:before="120" w:after="120" w:line="360" w:lineRule="auto"/>
        <w:ind w:left="0" w:firstLine="482"/>
        <w:jc w:val="left"/>
        <w:outlineLvl w:val="4"/>
        <w:rPr>
          <w:b/>
          <w:bCs/>
          <w:vanish/>
          <w:sz w:val="24"/>
          <w:szCs w:val="24"/>
        </w:rPr>
      </w:pPr>
    </w:p>
    <w:p>
      <w:pPr>
        <w:pStyle w:val="8"/>
        <w:numPr>
          <w:ilvl w:val="4"/>
          <w:numId w:val="8"/>
        </w:numPr>
        <w:ind w:left="0" w:firstLine="482"/>
        <w:rPr>
          <w:rFonts w:eastAsia="宋体"/>
          <w:szCs w:val="24"/>
        </w:rPr>
      </w:pPr>
      <w:r>
        <w:rPr>
          <w:rFonts w:hint="eastAsia" w:eastAsia="宋体"/>
          <w:szCs w:val="24"/>
        </w:rPr>
        <w:t>业务</w:t>
      </w:r>
      <w:r>
        <w:rPr>
          <w:rFonts w:eastAsia="宋体"/>
          <w:szCs w:val="24"/>
        </w:rPr>
        <w:t>概述</w:t>
      </w:r>
    </w:p>
    <w:p>
      <w:pPr>
        <w:spacing w:line="560" w:lineRule="exact"/>
        <w:ind w:firstLine="480"/>
        <w:rPr>
          <w:szCs w:val="24"/>
        </w:rPr>
      </w:pPr>
      <w:r>
        <w:rPr>
          <w:rFonts w:hint="eastAsia"/>
          <w:szCs w:val="24"/>
        </w:rPr>
        <w:t>当申报单位进入政策申报页面，展示推荐政策及现开发申报的政策信息。</w:t>
      </w:r>
    </w:p>
    <w:p>
      <w:pPr>
        <w:ind w:firstLine="480"/>
        <w:jc w:val="center"/>
        <w:rPr>
          <w:szCs w:val="24"/>
        </w:rPr>
      </w:pPr>
    </w:p>
    <w:p>
      <w:pPr>
        <w:ind w:firstLine="480"/>
        <w:jc w:val="center"/>
        <w:rPr>
          <w:szCs w:val="24"/>
        </w:rPr>
      </w:pPr>
      <w:r>
        <w:rPr>
          <w:szCs w:val="24"/>
        </w:rPr>
        <w:drawing>
          <wp:inline distT="0" distB="0" distL="114300" distR="114300">
            <wp:extent cx="5266690" cy="2370455"/>
            <wp:effectExtent l="0" t="0" r="10160" b="10795"/>
            <wp:docPr id="1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7"/>
                    <pic:cNvPicPr>
                      <a:picLocks noChangeAspect="1"/>
                    </pic:cNvPicPr>
                  </pic:nvPicPr>
                  <pic:blipFill>
                    <a:blip r:embed="rId48"/>
                    <a:stretch>
                      <a:fillRect/>
                    </a:stretch>
                  </pic:blipFill>
                  <pic:spPr>
                    <a:xfrm>
                      <a:off x="0" y="0"/>
                      <a:ext cx="5266690" cy="2370455"/>
                    </a:xfrm>
                    <a:prstGeom prst="rect">
                      <a:avLst/>
                    </a:prstGeom>
                    <a:noFill/>
                    <a:ln>
                      <a:noFill/>
                    </a:ln>
                  </pic:spPr>
                </pic:pic>
              </a:graphicData>
            </a:graphic>
          </wp:inline>
        </w:drawing>
      </w:r>
    </w:p>
    <w:p>
      <w:pPr>
        <w:ind w:firstLine="480"/>
        <w:jc w:val="center"/>
        <w:rPr>
          <w:szCs w:val="24"/>
        </w:rPr>
      </w:pPr>
    </w:p>
    <w:p>
      <w:pPr>
        <w:numPr>
          <w:ilvl w:val="0"/>
          <w:numId w:val="10"/>
        </w:numPr>
        <w:spacing w:line="560" w:lineRule="exact"/>
        <w:ind w:firstLine="480"/>
        <w:rPr>
          <w:szCs w:val="24"/>
        </w:rPr>
      </w:pPr>
      <w:r>
        <w:rPr>
          <w:rFonts w:hint="eastAsia"/>
          <w:szCs w:val="24"/>
        </w:rPr>
        <w:t>系统根据政策推荐规则及企业基本信息，匹配推荐申报单位满足的资金政策，供申报单位参考。</w:t>
      </w:r>
    </w:p>
    <w:p>
      <w:pPr>
        <w:ind w:firstLine="480"/>
        <w:rPr>
          <w:szCs w:val="24"/>
        </w:rPr>
      </w:pPr>
      <w:r>
        <w:rPr>
          <w:szCs w:val="24"/>
        </w:rPr>
        <w:drawing>
          <wp:inline distT="0" distB="0" distL="114300" distR="114300">
            <wp:extent cx="5271770" cy="2349500"/>
            <wp:effectExtent l="0" t="0" r="5080" b="1270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pic:cNvPicPr>
                      <a:picLocks noChangeAspect="1"/>
                    </pic:cNvPicPr>
                  </pic:nvPicPr>
                  <pic:blipFill>
                    <a:blip r:embed="rId49"/>
                    <a:stretch>
                      <a:fillRect/>
                    </a:stretch>
                  </pic:blipFill>
                  <pic:spPr>
                    <a:xfrm>
                      <a:off x="0" y="0"/>
                      <a:ext cx="5271770" cy="2349500"/>
                    </a:xfrm>
                    <a:prstGeom prst="rect">
                      <a:avLst/>
                    </a:prstGeom>
                    <a:noFill/>
                    <a:ln>
                      <a:noFill/>
                    </a:ln>
                  </pic:spPr>
                </pic:pic>
              </a:graphicData>
            </a:graphic>
          </wp:inline>
        </w:drawing>
      </w:r>
    </w:p>
    <w:p>
      <w:pPr>
        <w:ind w:firstLine="480"/>
        <w:rPr>
          <w:szCs w:val="24"/>
        </w:rPr>
      </w:pPr>
    </w:p>
    <w:p>
      <w:pPr>
        <w:spacing w:line="560" w:lineRule="exact"/>
        <w:ind w:firstLine="480"/>
        <w:rPr>
          <w:szCs w:val="24"/>
        </w:rPr>
      </w:pPr>
      <w:r>
        <w:rPr>
          <w:rFonts w:hint="eastAsia"/>
          <w:szCs w:val="24"/>
        </w:rPr>
        <w:t>（2）系统根据当前发布的政策，展示政策列表供申报单位选择进入查看详情发起资金申报。</w:t>
      </w:r>
    </w:p>
    <w:p>
      <w:pPr>
        <w:pStyle w:val="7"/>
        <w:numPr>
          <w:ilvl w:val="3"/>
          <w:numId w:val="4"/>
        </w:numPr>
        <w:spacing w:before="120" w:after="120" w:line="360" w:lineRule="auto"/>
        <w:ind w:left="0" w:firstLine="482"/>
        <w:jc w:val="left"/>
        <w:rPr>
          <w:rFonts w:eastAsia="宋体"/>
          <w:sz w:val="24"/>
          <w:szCs w:val="24"/>
        </w:rPr>
      </w:pPr>
      <w:r>
        <w:rPr>
          <w:rFonts w:hint="eastAsia" w:eastAsia="宋体"/>
          <w:sz w:val="24"/>
          <w:szCs w:val="24"/>
        </w:rPr>
        <w:t>资金申报</w:t>
      </w:r>
    </w:p>
    <w:p>
      <w:pPr>
        <w:pStyle w:val="56"/>
        <w:keepNext/>
        <w:keepLines/>
        <w:numPr>
          <w:ilvl w:val="3"/>
          <w:numId w:val="8"/>
        </w:numPr>
        <w:tabs>
          <w:tab w:val="left" w:pos="1008"/>
        </w:tabs>
        <w:spacing w:before="120" w:after="120" w:line="360" w:lineRule="auto"/>
        <w:ind w:left="0" w:firstLine="482"/>
        <w:jc w:val="left"/>
        <w:outlineLvl w:val="4"/>
        <w:rPr>
          <w:b/>
          <w:bCs/>
          <w:vanish/>
          <w:sz w:val="24"/>
          <w:szCs w:val="24"/>
        </w:rPr>
      </w:pPr>
    </w:p>
    <w:p>
      <w:pPr>
        <w:pStyle w:val="8"/>
        <w:numPr>
          <w:ilvl w:val="4"/>
          <w:numId w:val="8"/>
        </w:numPr>
        <w:ind w:left="0" w:firstLine="482"/>
        <w:rPr>
          <w:rFonts w:eastAsia="宋体"/>
          <w:szCs w:val="24"/>
        </w:rPr>
      </w:pPr>
      <w:r>
        <w:rPr>
          <w:rFonts w:hint="eastAsia" w:eastAsia="宋体"/>
          <w:szCs w:val="24"/>
        </w:rPr>
        <w:t>业务</w:t>
      </w:r>
      <w:r>
        <w:rPr>
          <w:rFonts w:eastAsia="宋体"/>
          <w:szCs w:val="24"/>
        </w:rPr>
        <w:t>概述</w:t>
      </w:r>
    </w:p>
    <w:p>
      <w:pPr>
        <w:spacing w:line="560" w:lineRule="exact"/>
        <w:ind w:firstLine="480"/>
        <w:rPr>
          <w:szCs w:val="24"/>
        </w:rPr>
      </w:pPr>
      <w:r>
        <w:rPr>
          <w:rFonts w:hint="eastAsia"/>
          <w:szCs w:val="24"/>
        </w:rPr>
        <w:t>（</w:t>
      </w:r>
      <w:r>
        <w:rPr>
          <w:szCs w:val="24"/>
        </w:rPr>
        <w:t>1</w:t>
      </w:r>
      <w:r>
        <w:rPr>
          <w:rFonts w:hint="eastAsia"/>
          <w:szCs w:val="24"/>
        </w:rPr>
        <w:t>）申报单位选择意向申报政策，点击发起资金申报，填写表单、上传附件材料，提交至后续资金申报审核流程。</w:t>
      </w:r>
    </w:p>
    <w:p>
      <w:pPr>
        <w:ind w:firstLine="480"/>
        <w:rPr>
          <w:szCs w:val="24"/>
          <w:highlight w:val="yellow"/>
        </w:rPr>
      </w:pPr>
      <w:r>
        <w:rPr>
          <w:szCs w:val="24"/>
        </w:rPr>
        <w:drawing>
          <wp:inline distT="0" distB="0" distL="114300" distR="114300">
            <wp:extent cx="5264150" cy="5633085"/>
            <wp:effectExtent l="0" t="0" r="12700" b="5715"/>
            <wp:docPr id="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9"/>
                    <pic:cNvPicPr>
                      <a:picLocks noChangeAspect="1"/>
                    </pic:cNvPicPr>
                  </pic:nvPicPr>
                  <pic:blipFill>
                    <a:blip r:embed="rId50"/>
                    <a:stretch>
                      <a:fillRect/>
                    </a:stretch>
                  </pic:blipFill>
                  <pic:spPr>
                    <a:xfrm>
                      <a:off x="0" y="0"/>
                      <a:ext cx="5264150" cy="5633085"/>
                    </a:xfrm>
                    <a:prstGeom prst="rect">
                      <a:avLst/>
                    </a:prstGeom>
                    <a:noFill/>
                    <a:ln>
                      <a:noFill/>
                    </a:ln>
                  </pic:spPr>
                </pic:pic>
              </a:graphicData>
            </a:graphic>
          </wp:inline>
        </w:drawing>
      </w:r>
    </w:p>
    <w:p>
      <w:pPr>
        <w:pStyle w:val="6"/>
        <w:numPr>
          <w:ilvl w:val="2"/>
          <w:numId w:val="4"/>
        </w:numPr>
        <w:spacing w:before="120" w:after="120" w:line="360" w:lineRule="auto"/>
        <w:ind w:left="0" w:firstLine="482"/>
        <w:jc w:val="left"/>
        <w:rPr>
          <w:szCs w:val="24"/>
        </w:rPr>
      </w:pPr>
      <w:bookmarkStart w:id="41" w:name="_Toc138949329"/>
      <w:r>
        <w:rPr>
          <w:rFonts w:hint="eastAsia"/>
          <w:szCs w:val="24"/>
        </w:rPr>
        <w:t>我的申报</w:t>
      </w:r>
      <w:bookmarkEnd w:id="41"/>
    </w:p>
    <w:p>
      <w:pPr>
        <w:pStyle w:val="7"/>
        <w:numPr>
          <w:ilvl w:val="3"/>
          <w:numId w:val="4"/>
        </w:numPr>
        <w:spacing w:before="120" w:after="120" w:line="360" w:lineRule="auto"/>
        <w:ind w:left="0" w:firstLine="482"/>
        <w:jc w:val="left"/>
        <w:rPr>
          <w:rFonts w:eastAsia="宋体"/>
          <w:sz w:val="24"/>
          <w:szCs w:val="24"/>
        </w:rPr>
      </w:pPr>
      <w:r>
        <w:rPr>
          <w:rFonts w:hint="eastAsia" w:eastAsia="宋体"/>
          <w:sz w:val="24"/>
          <w:szCs w:val="24"/>
        </w:rPr>
        <w:t>申报进度查询</w:t>
      </w:r>
    </w:p>
    <w:p>
      <w:pPr>
        <w:pStyle w:val="56"/>
        <w:keepNext/>
        <w:keepLines/>
        <w:numPr>
          <w:ilvl w:val="2"/>
          <w:numId w:val="8"/>
        </w:numPr>
        <w:tabs>
          <w:tab w:val="left" w:pos="1008"/>
        </w:tabs>
        <w:spacing w:line="560" w:lineRule="exact"/>
        <w:ind w:left="0" w:firstLine="482"/>
        <w:jc w:val="left"/>
        <w:outlineLvl w:val="4"/>
        <w:rPr>
          <w:b/>
          <w:bCs/>
          <w:vanish/>
          <w:sz w:val="24"/>
          <w:szCs w:val="24"/>
        </w:rPr>
      </w:pPr>
    </w:p>
    <w:p>
      <w:pPr>
        <w:pStyle w:val="56"/>
        <w:keepNext/>
        <w:keepLines/>
        <w:numPr>
          <w:ilvl w:val="3"/>
          <w:numId w:val="8"/>
        </w:numPr>
        <w:tabs>
          <w:tab w:val="left" w:pos="1008"/>
        </w:tabs>
        <w:spacing w:line="560" w:lineRule="exact"/>
        <w:ind w:left="0" w:firstLine="482"/>
        <w:jc w:val="left"/>
        <w:outlineLvl w:val="4"/>
        <w:rPr>
          <w:b/>
          <w:bCs/>
          <w:vanish/>
          <w:sz w:val="24"/>
          <w:szCs w:val="24"/>
        </w:rPr>
      </w:pPr>
    </w:p>
    <w:p>
      <w:pPr>
        <w:pStyle w:val="8"/>
        <w:numPr>
          <w:ilvl w:val="4"/>
          <w:numId w:val="8"/>
        </w:numPr>
        <w:spacing w:before="0" w:after="0" w:line="560" w:lineRule="exact"/>
        <w:ind w:left="0" w:firstLine="482"/>
        <w:rPr>
          <w:rFonts w:eastAsia="宋体"/>
          <w:szCs w:val="24"/>
        </w:rPr>
      </w:pPr>
      <w:r>
        <w:rPr>
          <w:rFonts w:hint="eastAsia" w:eastAsia="宋体"/>
          <w:szCs w:val="24"/>
        </w:rPr>
        <w:t>业务</w:t>
      </w:r>
      <w:r>
        <w:rPr>
          <w:rFonts w:eastAsia="宋体"/>
          <w:szCs w:val="24"/>
        </w:rPr>
        <w:t>概述</w:t>
      </w:r>
    </w:p>
    <w:p>
      <w:pPr>
        <w:spacing w:line="560" w:lineRule="exact"/>
        <w:ind w:firstLine="480"/>
        <w:rPr>
          <w:szCs w:val="24"/>
        </w:rPr>
      </w:pPr>
      <w:r>
        <w:rPr>
          <w:rFonts w:hint="eastAsia"/>
          <w:szCs w:val="24"/>
        </w:rPr>
        <w:t>申报单位提交资金申报申请后，可进入申报进度列表页，查看已提交的资金申报信息、当前资金申报处理进度及审核结果。</w:t>
      </w:r>
    </w:p>
    <w:p>
      <w:pPr>
        <w:ind w:left="432" w:firstLine="480"/>
        <w:rPr>
          <w:szCs w:val="24"/>
        </w:rPr>
      </w:pPr>
      <w:r>
        <w:rPr>
          <w:szCs w:val="24"/>
        </w:rPr>
        <w:drawing>
          <wp:inline distT="0" distB="0" distL="114300" distR="114300">
            <wp:extent cx="5263515" cy="1261745"/>
            <wp:effectExtent l="0" t="0" r="13335" b="14605"/>
            <wp:docPr id="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0"/>
                    <pic:cNvPicPr>
                      <a:picLocks noChangeAspect="1"/>
                    </pic:cNvPicPr>
                  </pic:nvPicPr>
                  <pic:blipFill>
                    <a:blip r:embed="rId51"/>
                    <a:stretch>
                      <a:fillRect/>
                    </a:stretch>
                  </pic:blipFill>
                  <pic:spPr>
                    <a:xfrm>
                      <a:off x="0" y="0"/>
                      <a:ext cx="5263515" cy="1261745"/>
                    </a:xfrm>
                    <a:prstGeom prst="rect">
                      <a:avLst/>
                    </a:prstGeom>
                    <a:noFill/>
                    <a:ln>
                      <a:noFill/>
                    </a:ln>
                  </pic:spPr>
                </pic:pic>
              </a:graphicData>
            </a:graphic>
          </wp:inline>
        </w:drawing>
      </w:r>
    </w:p>
    <w:p>
      <w:pPr>
        <w:spacing w:line="560" w:lineRule="exact"/>
        <w:ind w:firstLine="480"/>
        <w:rPr>
          <w:szCs w:val="24"/>
        </w:rPr>
      </w:pPr>
      <w:r>
        <w:rPr>
          <w:rFonts w:hint="eastAsia"/>
          <w:szCs w:val="24"/>
        </w:rPr>
        <w:t>点击查看按钮，</w:t>
      </w:r>
    </w:p>
    <w:p>
      <w:pPr>
        <w:pStyle w:val="2"/>
        <w:ind w:firstLine="240"/>
        <w:rPr>
          <w:rFonts w:eastAsia="宋体"/>
          <w:szCs w:val="24"/>
        </w:rPr>
      </w:pPr>
    </w:p>
    <w:p>
      <w:pPr>
        <w:ind w:left="432" w:firstLine="480"/>
        <w:rPr>
          <w:szCs w:val="24"/>
        </w:rPr>
      </w:pPr>
      <w:r>
        <w:rPr>
          <w:szCs w:val="24"/>
        </w:rPr>
        <w:drawing>
          <wp:inline distT="0" distB="0" distL="114300" distR="114300">
            <wp:extent cx="5264150" cy="7915910"/>
            <wp:effectExtent l="0" t="0" r="12700" b="8890"/>
            <wp:docPr id="1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pic:cNvPicPr>
                      <a:picLocks noChangeAspect="1"/>
                    </pic:cNvPicPr>
                  </pic:nvPicPr>
                  <pic:blipFill>
                    <a:blip r:embed="rId52"/>
                    <a:stretch>
                      <a:fillRect/>
                    </a:stretch>
                  </pic:blipFill>
                  <pic:spPr>
                    <a:xfrm>
                      <a:off x="0" y="0"/>
                      <a:ext cx="5264150" cy="7915910"/>
                    </a:xfrm>
                    <a:prstGeom prst="rect">
                      <a:avLst/>
                    </a:prstGeom>
                    <a:noFill/>
                    <a:ln>
                      <a:noFill/>
                    </a:ln>
                  </pic:spPr>
                </pic:pic>
              </a:graphicData>
            </a:graphic>
          </wp:inline>
        </w:drawing>
      </w:r>
    </w:p>
    <w:p>
      <w:pPr>
        <w:pStyle w:val="6"/>
        <w:numPr>
          <w:ilvl w:val="2"/>
          <w:numId w:val="4"/>
        </w:numPr>
        <w:spacing w:before="0" w:after="0" w:line="560" w:lineRule="exact"/>
        <w:ind w:left="0" w:firstLine="482"/>
        <w:rPr>
          <w:szCs w:val="24"/>
        </w:rPr>
      </w:pPr>
      <w:bookmarkStart w:id="42" w:name="_Toc138949330"/>
      <w:r>
        <w:rPr>
          <w:rFonts w:hint="eastAsia"/>
          <w:szCs w:val="24"/>
        </w:rPr>
        <w:t>待办事项</w:t>
      </w:r>
      <w:bookmarkEnd w:id="42"/>
    </w:p>
    <w:p>
      <w:pPr>
        <w:ind w:firstLine="480"/>
        <w:rPr>
          <w:szCs w:val="24"/>
        </w:rPr>
      </w:pPr>
      <w:r>
        <w:rPr>
          <w:szCs w:val="24"/>
        </w:rPr>
        <w:drawing>
          <wp:inline distT="0" distB="0" distL="114300" distR="114300">
            <wp:extent cx="5273675" cy="1246505"/>
            <wp:effectExtent l="0" t="0" r="3175" b="10795"/>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53"/>
                    <a:stretch>
                      <a:fillRect/>
                    </a:stretch>
                  </pic:blipFill>
                  <pic:spPr>
                    <a:xfrm>
                      <a:off x="0" y="0"/>
                      <a:ext cx="5273675" cy="1246505"/>
                    </a:xfrm>
                    <a:prstGeom prst="rect">
                      <a:avLst/>
                    </a:prstGeom>
                    <a:noFill/>
                    <a:ln>
                      <a:noFill/>
                    </a:ln>
                  </pic:spPr>
                </pic:pic>
              </a:graphicData>
            </a:graphic>
          </wp:inline>
        </w:drawing>
      </w:r>
    </w:p>
    <w:p>
      <w:pPr>
        <w:ind w:firstLine="480"/>
        <w:rPr>
          <w:szCs w:val="24"/>
        </w:rPr>
      </w:pPr>
    </w:p>
    <w:p>
      <w:pPr>
        <w:spacing w:line="560" w:lineRule="exact"/>
        <w:ind w:firstLine="480"/>
        <w:rPr>
          <w:szCs w:val="24"/>
        </w:rPr>
      </w:pPr>
      <w:r>
        <w:rPr>
          <w:rFonts w:hint="eastAsia"/>
          <w:szCs w:val="24"/>
        </w:rPr>
        <w:t>点击查看按钮可查看流程申报情况，点击处理。</w:t>
      </w:r>
    </w:p>
    <w:p>
      <w:pPr>
        <w:pStyle w:val="6"/>
        <w:numPr>
          <w:ilvl w:val="2"/>
          <w:numId w:val="4"/>
        </w:numPr>
        <w:spacing w:before="0" w:after="0" w:line="560" w:lineRule="exact"/>
        <w:ind w:left="0" w:firstLine="482"/>
        <w:rPr>
          <w:szCs w:val="24"/>
        </w:rPr>
      </w:pPr>
      <w:bookmarkStart w:id="43" w:name="_Toc138949331"/>
      <w:r>
        <w:rPr>
          <w:rFonts w:hint="eastAsia"/>
          <w:szCs w:val="24"/>
        </w:rPr>
        <w:t>附件下载</w:t>
      </w:r>
      <w:bookmarkEnd w:id="43"/>
    </w:p>
    <w:p>
      <w:pPr>
        <w:spacing w:line="560" w:lineRule="exact"/>
        <w:ind w:firstLine="480"/>
        <w:rPr>
          <w:szCs w:val="24"/>
        </w:rPr>
      </w:pPr>
      <w:r>
        <w:rPr>
          <w:rFonts w:hint="eastAsia"/>
          <w:szCs w:val="24"/>
        </w:rPr>
        <w:t>在申报列表页页面中，提供政策文件下载功能，用户点击后，下载科创局/工信局对应的政策申报文件。</w:t>
      </w:r>
    </w:p>
    <w:p>
      <w:pPr>
        <w:spacing w:line="560" w:lineRule="exact"/>
        <w:ind w:firstLine="480"/>
        <w:rPr>
          <w:szCs w:val="24"/>
          <w:highlight w:val="yellow"/>
        </w:rPr>
      </w:pPr>
    </w:p>
    <w:p>
      <w:pPr>
        <w:ind w:firstLine="480"/>
        <w:rPr>
          <w:szCs w:val="24"/>
        </w:rPr>
      </w:pPr>
      <w:r>
        <w:rPr>
          <w:szCs w:val="24"/>
        </w:rPr>
        <w:t xml:space="preserve"> </w:t>
      </w:r>
    </w:p>
    <w:p>
      <w:pPr>
        <w:ind w:firstLine="480"/>
        <w:rPr>
          <w:szCs w:val="24"/>
        </w:rPr>
      </w:pPr>
    </w:p>
    <w:p>
      <w:pPr>
        <w:pStyle w:val="6"/>
        <w:spacing w:line="360" w:lineRule="auto"/>
        <w:ind w:firstLine="0" w:firstLineChars="0"/>
        <w:rPr>
          <w:rFonts w:ascii="黑体" w:hAnsi="黑体" w:cs="黑体"/>
          <w:bCs w:val="0"/>
          <w:szCs w:val="24"/>
        </w:rPr>
        <w:sectPr>
          <w:footerReference r:id="rId12" w:type="default"/>
          <w:pgSz w:w="11906" w:h="16838"/>
          <w:pgMar w:top="1440" w:right="1559" w:bottom="1440" w:left="1400" w:header="851" w:footer="992" w:gutter="0"/>
          <w:pgNumType w:start="1"/>
          <w:cols w:space="720" w:num="1"/>
          <w:docGrid w:linePitch="312" w:charSpace="0"/>
        </w:sectPr>
      </w:pPr>
    </w:p>
    <w:p>
      <w:pPr>
        <w:pStyle w:val="4"/>
        <w:spacing w:line="360" w:lineRule="auto"/>
        <w:jc w:val="center"/>
        <w:rPr>
          <w:rFonts w:ascii="微软雅黑" w:hAnsi="微软雅黑" w:eastAsia="微软雅黑"/>
          <w:kern w:val="24"/>
          <w:sz w:val="40"/>
          <w:szCs w:val="11"/>
        </w:rPr>
      </w:pPr>
      <w:bookmarkStart w:id="44" w:name="_Toc1739933412"/>
      <w:bookmarkStart w:id="45" w:name="_Toc1365381674"/>
      <w:bookmarkStart w:id="46" w:name="_Toc12601"/>
      <w:bookmarkStart w:id="47" w:name="_Toc138949332"/>
      <w:bookmarkStart w:id="48" w:name="_Toc817043453"/>
      <w:bookmarkStart w:id="49" w:name="_Toc699033033"/>
      <w:bookmarkStart w:id="50" w:name="_Toc74931544"/>
      <w:bookmarkStart w:id="51" w:name="_Toc130905463"/>
      <w:r>
        <w:rPr>
          <w:rFonts w:hint="eastAsia" w:ascii="微软雅黑" w:hAnsi="微软雅黑" w:eastAsia="微软雅黑"/>
          <w:kern w:val="24"/>
          <w:sz w:val="40"/>
          <w:szCs w:val="11"/>
        </w:rPr>
        <w:t>第四部分 服务业资助项目申报指南</w:t>
      </w:r>
      <w:bookmarkEnd w:id="44"/>
      <w:bookmarkEnd w:id="45"/>
      <w:bookmarkEnd w:id="46"/>
      <w:bookmarkEnd w:id="47"/>
      <w:bookmarkEnd w:id="48"/>
      <w:bookmarkEnd w:id="49"/>
      <w:bookmarkEnd w:id="50"/>
      <w:bookmarkEnd w:id="51"/>
    </w:p>
    <w:p>
      <w:pPr>
        <w:pStyle w:val="5"/>
        <w:spacing w:line="360" w:lineRule="auto"/>
        <w:ind w:firstLine="0" w:firstLineChars="0"/>
        <w:jc w:val="center"/>
        <w:rPr>
          <w:rFonts w:ascii="黑体" w:hAnsi="黑体" w:eastAsia="黑体" w:cs="黑体"/>
          <w:bCs w:val="0"/>
          <w:sz w:val="28"/>
          <w:szCs w:val="28"/>
        </w:rPr>
      </w:pPr>
      <w:bookmarkStart w:id="52" w:name="_Toc2064029316"/>
      <w:bookmarkStart w:id="53" w:name="_Toc138949333"/>
      <w:bookmarkStart w:id="54" w:name="_Toc45181145"/>
      <w:bookmarkStart w:id="55" w:name="_Toc29555"/>
      <w:bookmarkStart w:id="56" w:name="_Toc130905464"/>
      <w:bookmarkStart w:id="57" w:name="_Toc205074654"/>
      <w:bookmarkStart w:id="58" w:name="_Toc1509628465"/>
      <w:bookmarkStart w:id="59" w:name="_Toc74931545"/>
      <w:bookmarkStart w:id="60" w:name="_Toc871118952"/>
      <w:r>
        <w:rPr>
          <w:rFonts w:hint="eastAsia" w:ascii="黑体" w:hAnsi="黑体" w:eastAsia="黑体" w:cs="黑体"/>
          <w:bCs w:val="0"/>
          <w:sz w:val="28"/>
          <w:szCs w:val="28"/>
        </w:rPr>
        <w:t>第一章 支持金融业发展</w:t>
      </w:r>
      <w:bookmarkEnd w:id="52"/>
      <w:bookmarkEnd w:id="53"/>
      <w:bookmarkEnd w:id="54"/>
      <w:bookmarkEnd w:id="55"/>
      <w:bookmarkEnd w:id="56"/>
      <w:bookmarkEnd w:id="57"/>
      <w:bookmarkEnd w:id="58"/>
      <w:bookmarkEnd w:id="59"/>
      <w:bookmarkEnd w:id="60"/>
    </w:p>
    <w:p>
      <w:pPr>
        <w:pStyle w:val="28"/>
        <w:spacing w:before="312" w:line="360" w:lineRule="auto"/>
        <w:outlineLvl w:val="2"/>
        <w:rPr>
          <w:bCs/>
        </w:rPr>
      </w:pPr>
      <w:bookmarkStart w:id="61" w:name="_Toc1053679138"/>
      <w:bookmarkStart w:id="62" w:name="_Toc6893"/>
      <w:bookmarkStart w:id="63" w:name="_Toc629290622"/>
      <w:bookmarkStart w:id="64" w:name="_Toc1357044736"/>
      <w:bookmarkStart w:id="65" w:name="_Toc1827403323"/>
      <w:bookmarkStart w:id="66" w:name="_Toc74931546"/>
      <w:bookmarkStart w:id="67" w:name="_Toc138949334"/>
      <w:bookmarkStart w:id="68" w:name="_Toc130905465"/>
      <w:r>
        <w:rPr>
          <w:rFonts w:hint="eastAsia"/>
        </w:rPr>
        <w:t xml:space="preserve">第一节 </w:t>
      </w:r>
      <w:bookmarkEnd w:id="61"/>
      <w:bookmarkEnd w:id="62"/>
      <w:bookmarkEnd w:id="63"/>
      <w:bookmarkEnd w:id="64"/>
      <w:bookmarkEnd w:id="65"/>
      <w:bookmarkEnd w:id="66"/>
      <w:r>
        <w:rPr>
          <w:rFonts w:hint="eastAsia"/>
        </w:rPr>
        <w:t>支持地方金融机构集聚发展专项资助</w:t>
      </w:r>
      <w:bookmarkEnd w:id="67"/>
      <w:bookmarkEnd w:id="68"/>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对新设立或新迁入的实缴资本1亿元以上的融资租赁、商业保理、融资担保、小额贷款等地方金融机构，按其实缴资本的1%，给予最高200万元一次性奖励。上述机构营业收入首次达到500万元以上，给予50万元一次性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（二）《深圳市坪山区服务业高质量发展资金支持措施》（深坪府办规〔2023〕</w:t>
      </w:r>
      <w:r>
        <w:rPr>
          <w:spacing w:val="8"/>
          <w:szCs w:val="24"/>
        </w:rPr>
        <w:t>3</w:t>
      </w:r>
      <w:r>
        <w:rPr>
          <w:rFonts w:hint="eastAsia"/>
          <w:spacing w:val="8"/>
          <w:szCs w:val="24"/>
        </w:rPr>
        <w:t>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p>
      <w:pPr>
        <w:ind w:firstLine="512"/>
        <w:rPr>
          <w:spacing w:val="8"/>
          <w:szCs w:val="24"/>
        </w:rPr>
      </w:pPr>
      <w:r>
        <w:rPr>
          <w:rFonts w:hint="eastAsia"/>
          <w:spacing w:val="8"/>
          <w:szCs w:val="24"/>
        </w:rPr>
        <w:t>（二）申报本条新设立或新迁入资助的，可不受上年度区级财力贡献限制。</w:t>
      </w:r>
    </w:p>
    <w:p>
      <w:pPr>
        <w:ind w:firstLine="512"/>
        <w:rPr>
          <w:spacing w:val="8"/>
          <w:szCs w:val="24"/>
        </w:rPr>
      </w:pPr>
      <w:r>
        <w:rPr>
          <w:rFonts w:hint="eastAsia"/>
          <w:spacing w:val="8"/>
          <w:szCs w:val="24"/>
        </w:rPr>
        <w:t>（三）有下列情况之一的，本条政策不予资助：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numPr>
          <w:ilvl w:val="255"/>
          <w:numId w:val="0"/>
        </w:numPr>
        <w:ind w:firstLine="521" w:firstLineChars="200"/>
        <w:rPr>
          <w:b/>
          <w:spacing w:val="10"/>
          <w:szCs w:val="24"/>
        </w:rPr>
      </w:pPr>
      <w:r>
        <w:rPr>
          <w:rFonts w:hint="eastAsia"/>
          <w:b/>
          <w:spacing w:val="10"/>
          <w:szCs w:val="24"/>
        </w:rPr>
        <w:t>五、所需材料及自查单</w:t>
      </w:r>
    </w:p>
    <w:p>
      <w:pPr>
        <w:numPr>
          <w:ilvl w:val="255"/>
          <w:numId w:val="0"/>
        </w:numPr>
        <w:ind w:firstLine="513" w:firstLineChars="200"/>
      </w:pPr>
      <w:r>
        <w:rPr>
          <w:rFonts w:hint="eastAsia"/>
          <w:b/>
          <w:bCs/>
          <w:spacing w:val="8"/>
          <w:szCs w:val="24"/>
        </w:rPr>
        <w:t>所有纸质申报材料一式两份，</w:t>
      </w:r>
      <w:r>
        <w:rPr>
          <w:b/>
          <w:bCs/>
          <w:spacing w:val="8"/>
          <w:szCs w:val="24"/>
        </w:rPr>
        <w:t>A4</w:t>
      </w:r>
      <w:r>
        <w:rPr>
          <w:rFonts w:hint="eastAsia"/>
          <w:b/>
          <w:bCs/>
          <w:spacing w:val="8"/>
          <w:szCs w:val="24"/>
        </w:rPr>
        <w:t>纸双面打印，编制目录和页码，胶装成册，每页需加盖单位公章，并加盖骑缝章。</w:t>
      </w:r>
    </w:p>
    <w:tbl>
      <w:tblPr>
        <w:tblStyle w:val="22"/>
        <w:tblW w:w="861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1"/>
        <w:gridCol w:w="1379"/>
        <w:gridCol w:w="5583"/>
        <w:gridCol w:w="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86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9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w:t>
            </w:r>
          </w:p>
          <w:p>
            <w:pPr>
              <w:ind w:firstLine="0" w:firstLineChars="0"/>
              <w:jc w:val="center"/>
              <w:rPr>
                <w:szCs w:val="28"/>
              </w:rPr>
            </w:pPr>
            <w:r>
              <w:rPr>
                <w:rFonts w:hint="eastAsia"/>
                <w:szCs w:val="28"/>
              </w:rPr>
              <w:t>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379"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1.《支持金融业发展类—支持地方金融机构集聚发展专项资助项目申报书》；</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379"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4"/>
              </w:rPr>
            </w:pPr>
            <w:r>
              <w:rPr>
                <w:rFonts w:hint="eastAsia"/>
                <w:spacing w:val="8"/>
                <w:szCs w:val="24"/>
              </w:rPr>
              <w:t>2.营业执照复印件（三证合一新版）（验原件，收复印件）；</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379"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379"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4</w:t>
            </w:r>
            <w:r>
              <w:rPr>
                <w:spacing w:val="8"/>
                <w:szCs w:val="24"/>
              </w:rPr>
              <w:t>.</w:t>
            </w:r>
            <w:r>
              <w:rPr>
                <w:rFonts w:hint="eastAsia"/>
                <w:spacing w:val="8"/>
                <w:szCs w:val="24"/>
              </w:rPr>
              <w:t>2022年度纳税证明；</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379"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4"/>
              </w:rPr>
            </w:pPr>
            <w:r>
              <w:rPr>
                <w:spacing w:val="8"/>
                <w:szCs w:val="24"/>
              </w:rPr>
              <w:t>5</w:t>
            </w:r>
            <w:r>
              <w:rPr>
                <w:rFonts w:hint="eastAsia"/>
                <w:spacing w:val="8"/>
                <w:szCs w:val="24"/>
              </w:rPr>
              <w:t>.年度累计获区经济发展专项资金资助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7" w:hRule="atLeast"/>
        </w:trPr>
        <w:tc>
          <w:tcPr>
            <w:tcW w:w="861"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379"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新设立或新迁入资助的</w:t>
            </w:r>
            <w:r>
              <w:rPr>
                <w:rFonts w:hint="eastAsia"/>
                <w:spacing w:val="8"/>
                <w:szCs w:val="28"/>
              </w:rPr>
              <w:t>资助的还需提供</w:t>
            </w: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8"/>
              </w:rPr>
            </w:pPr>
            <w:r>
              <w:rPr>
                <w:rFonts w:hint="eastAsia"/>
                <w:spacing w:val="8"/>
                <w:szCs w:val="28"/>
              </w:rPr>
              <w:t>6</w:t>
            </w:r>
            <w:r>
              <w:rPr>
                <w:spacing w:val="8"/>
                <w:szCs w:val="28"/>
              </w:rPr>
              <w:t>.</w:t>
            </w:r>
            <w:r>
              <w:rPr>
                <w:rFonts w:hint="eastAsia"/>
                <w:spacing w:val="8"/>
                <w:szCs w:val="28"/>
              </w:rPr>
              <w:t>市地方金融监管部门出具的批准文件，金融机构基本</w:t>
            </w:r>
            <w:r>
              <w:rPr>
                <w:rFonts w:hint="eastAsia"/>
                <w:spacing w:val="8"/>
                <w:szCs w:val="24"/>
              </w:rPr>
              <w:t>信用</w:t>
            </w:r>
            <w:r>
              <w:rPr>
                <w:rFonts w:hint="eastAsia"/>
                <w:spacing w:val="8"/>
                <w:szCs w:val="28"/>
              </w:rPr>
              <w:t>信息（企业信用信息公示系统打印，含注册资本、实收资本、成立时间、股东等信息）；</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7" w:hRule="atLeast"/>
        </w:trPr>
        <w:tc>
          <w:tcPr>
            <w:tcW w:w="861"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379"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8"/>
              </w:rPr>
            </w:pP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8"/>
              </w:rPr>
            </w:pPr>
            <w:r>
              <w:rPr>
                <w:rFonts w:hint="eastAsia"/>
                <w:spacing w:val="8"/>
                <w:szCs w:val="28"/>
              </w:rPr>
              <w:t>7</w:t>
            </w:r>
            <w:r>
              <w:rPr>
                <w:spacing w:val="8"/>
                <w:szCs w:val="28"/>
              </w:rPr>
              <w:t>.</w:t>
            </w:r>
            <w:r>
              <w:rPr>
                <w:rFonts w:hint="eastAsia"/>
                <w:spacing w:val="8"/>
                <w:szCs w:val="28"/>
              </w:rPr>
              <w:t>经注册会计师行业统一监管平台备案的2</w:t>
            </w:r>
            <w:r>
              <w:rPr>
                <w:spacing w:val="8"/>
                <w:szCs w:val="28"/>
              </w:rPr>
              <w:t>020</w:t>
            </w:r>
            <w:r>
              <w:rPr>
                <w:rFonts w:hint="eastAsia"/>
                <w:spacing w:val="8"/>
                <w:szCs w:val="28"/>
              </w:rPr>
              <w:t>-2022年度财务审计报告及验资报告（新设立公司仅提供当年财务审计报告及验资报告）</w:t>
            </w:r>
            <w:r>
              <w:rPr>
                <w:rFonts w:hint="eastAsia"/>
              </w:rPr>
              <w:t>（格式参见第六部分《项目专项审计报告提纲》）</w:t>
            </w:r>
            <w:r>
              <w:rPr>
                <w:rFonts w:hint="eastAsia"/>
                <w:spacing w:val="8"/>
                <w:szCs w:val="28"/>
              </w:rPr>
              <w:t>（验原件，收复印件）；</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trPr>
        <w:tc>
          <w:tcPr>
            <w:tcW w:w="861"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379" w:type="dxa"/>
            <w:tcBorders>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营业收入达标资助</w:t>
            </w:r>
            <w:r>
              <w:rPr>
                <w:rFonts w:hint="eastAsia"/>
                <w:spacing w:val="8"/>
                <w:szCs w:val="28"/>
              </w:rPr>
              <w:t>还需提供</w:t>
            </w:r>
          </w:p>
        </w:tc>
        <w:tc>
          <w:tcPr>
            <w:tcW w:w="5583"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8"/>
              </w:rPr>
            </w:pPr>
            <w:r>
              <w:rPr>
                <w:spacing w:val="8"/>
                <w:szCs w:val="28"/>
              </w:rPr>
              <w:t>8.</w:t>
            </w:r>
            <w:r>
              <w:rPr>
                <w:rFonts w:hint="eastAsia"/>
                <w:spacing w:val="8"/>
                <w:szCs w:val="28"/>
              </w:rPr>
              <w:t>2022年12月份增值税申报表主表，2022年度企业所得税申报表主表；</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86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69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86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 w:hRule="atLeast"/>
        </w:trPr>
        <w:tc>
          <w:tcPr>
            <w:tcW w:w="86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pPr>
          </w:p>
          <w:p>
            <w:pPr>
              <w:pStyle w:val="2"/>
              <w:spacing w:line="360" w:lineRule="auto"/>
              <w:ind w:firstLine="240"/>
            </w:pPr>
          </w:p>
          <w:p>
            <w:pPr>
              <w:pStyle w:val="2"/>
              <w:spacing w:line="360" w:lineRule="auto"/>
              <w:ind w:firstLine="240"/>
            </w:pPr>
          </w:p>
          <w:p>
            <w:pPr>
              <w:ind w:firstLine="0" w:firstLineChars="0"/>
              <w:jc w:val="left"/>
            </w:pPr>
          </w:p>
          <w:p>
            <w:pPr>
              <w:pStyle w:val="9"/>
              <w:ind w:firstLine="360"/>
            </w:pPr>
          </w:p>
        </w:tc>
      </w:tr>
    </w:tbl>
    <w:p>
      <w:pPr>
        <w:ind w:firstLine="480"/>
      </w:pPr>
      <w:bookmarkStart w:id="69" w:name="_Toc31619"/>
      <w:bookmarkStart w:id="70" w:name="_Toc74931547"/>
      <w:bookmarkStart w:id="71" w:name="_Toc1542061764"/>
      <w:bookmarkStart w:id="72" w:name="_Toc1791934104"/>
      <w:bookmarkStart w:id="73" w:name="_Toc1838111128"/>
      <w:bookmarkStart w:id="74" w:name="_Toc227910887"/>
      <w:r>
        <w:rPr>
          <w:rFonts w:hint="eastAsia"/>
        </w:rPr>
        <w:br w:type="page"/>
      </w:r>
    </w:p>
    <w:bookmarkEnd w:id="69"/>
    <w:bookmarkEnd w:id="70"/>
    <w:bookmarkEnd w:id="71"/>
    <w:bookmarkEnd w:id="72"/>
    <w:bookmarkEnd w:id="73"/>
    <w:bookmarkEnd w:id="74"/>
    <w:p>
      <w:pPr>
        <w:pStyle w:val="28"/>
        <w:spacing w:before="312" w:line="360" w:lineRule="auto"/>
        <w:outlineLvl w:val="2"/>
        <w:rPr>
          <w:bCs/>
        </w:rPr>
      </w:pPr>
      <w:bookmarkStart w:id="75" w:name="_Toc138949335"/>
      <w:bookmarkStart w:id="76" w:name="_Toc130905466"/>
      <w:bookmarkStart w:id="77" w:name="_Toc1424408672"/>
      <w:bookmarkStart w:id="78" w:name="_Toc1707788418"/>
      <w:bookmarkStart w:id="79" w:name="_Toc997875998"/>
      <w:bookmarkStart w:id="80" w:name="_Toc317526504"/>
      <w:bookmarkStart w:id="81" w:name="_Toc23849"/>
      <w:bookmarkStart w:id="82" w:name="_Toc74931554"/>
      <w:r>
        <w:rPr>
          <w:rFonts w:hint="eastAsia"/>
        </w:rPr>
        <w:t>第二节 支持新型金融机构集聚发展专项资助</w:t>
      </w:r>
      <w:bookmarkEnd w:id="75"/>
      <w:bookmarkEnd w:id="76"/>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对商业银行在坪山区新设立的科技支行，给予100万元一次性奖励。对市级认定的绿色金融专营机构，给予20万元一次性奖励。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rFonts w:hint="eastAsia"/>
          <w:spacing w:val="8"/>
          <w:szCs w:val="24"/>
        </w:rPr>
        <w:t>1.申报主体原则上必须是注册地在坪山区的金融机构；</w:t>
      </w:r>
    </w:p>
    <w:p>
      <w:pPr>
        <w:ind w:firstLine="512"/>
        <w:rPr>
          <w:spacing w:val="8"/>
          <w:szCs w:val="24"/>
        </w:rPr>
      </w:pPr>
      <w:r>
        <w:rPr>
          <w:spacing w:val="8"/>
          <w:szCs w:val="24"/>
        </w:rPr>
        <w:t>2</w:t>
      </w:r>
      <w:r>
        <w:rPr>
          <w:rFonts w:hint="eastAsia"/>
          <w:spacing w:val="8"/>
          <w:szCs w:val="24"/>
        </w:rPr>
        <w:t>.守法经营、诚实守信、有规范健全的财务会计制度；</w:t>
      </w:r>
    </w:p>
    <w:p>
      <w:pPr>
        <w:ind w:firstLine="512"/>
        <w:rPr>
          <w:spacing w:val="8"/>
          <w:szCs w:val="24"/>
        </w:rPr>
      </w:pPr>
      <w:r>
        <w:rPr>
          <w:spacing w:val="8"/>
          <w:szCs w:val="24"/>
        </w:rPr>
        <w:t>3</w:t>
      </w:r>
      <w:r>
        <w:rPr>
          <w:rFonts w:hint="eastAsia"/>
          <w:spacing w:val="8"/>
          <w:szCs w:val="24"/>
        </w:rPr>
        <w:t>.履行统计数据和纳税申报义务。</w:t>
      </w:r>
    </w:p>
    <w:p>
      <w:pPr>
        <w:pStyle w:val="2"/>
        <w:spacing w:line="360" w:lineRule="auto"/>
        <w:ind w:firstLine="512" w:firstLineChars="200"/>
        <w:rPr>
          <w:rFonts w:ascii="Times New Roman" w:eastAsia="宋体"/>
          <w:spacing w:val="8"/>
          <w:szCs w:val="24"/>
        </w:rPr>
      </w:pPr>
      <w:r>
        <w:rPr>
          <w:rFonts w:hint="eastAsia" w:ascii="Times New Roman" w:eastAsia="宋体"/>
          <w:spacing w:val="8"/>
          <w:szCs w:val="24"/>
        </w:rPr>
        <w:t>（二）申报本条资助的，可不受统计地、纳税地限制，可不受上年度区级财力贡献限制。</w:t>
      </w:r>
    </w:p>
    <w:p>
      <w:pPr>
        <w:ind w:firstLine="512"/>
        <w:rPr>
          <w:spacing w:val="8"/>
          <w:szCs w:val="24"/>
        </w:rPr>
      </w:pPr>
      <w:r>
        <w:rPr>
          <w:rFonts w:hint="eastAsia"/>
          <w:spacing w:val="8"/>
          <w:szCs w:val="24"/>
        </w:rPr>
        <w:t>（三）申报本条资助的科技支行，须具有由一级分行及以上管理机构（或我市行政区域内法人银行机构）发文并确定针对科技型企业的单独授信政策，包括但不限于单独的准入条件、单独的审批流程、单独的授信产品、单独的人员配置等</w:t>
      </w:r>
      <w:r>
        <w:rPr>
          <w:spacing w:val="8"/>
          <w:szCs w:val="24"/>
        </w:rPr>
        <w:t>。</w:t>
      </w:r>
    </w:p>
    <w:p>
      <w:pPr>
        <w:ind w:firstLine="512"/>
        <w:rPr>
          <w:spacing w:val="8"/>
          <w:szCs w:val="24"/>
        </w:rPr>
      </w:pPr>
      <w:r>
        <w:rPr>
          <w:rFonts w:hint="eastAsia"/>
          <w:spacing w:val="8"/>
          <w:szCs w:val="24"/>
        </w:rPr>
        <w:t>（四）申报本条资助的绿色金融专营机构，须通过市地方金融监管局会同人民银行深圳市中心支行、深圳银保监局的审核及认定。</w:t>
      </w:r>
    </w:p>
    <w:p>
      <w:pPr>
        <w:ind w:firstLine="512"/>
        <w:rPr>
          <w:spacing w:val="8"/>
          <w:szCs w:val="24"/>
        </w:rPr>
      </w:pPr>
      <w:r>
        <w:rPr>
          <w:rFonts w:hint="eastAsia"/>
          <w:spacing w:val="8"/>
          <w:szCs w:val="24"/>
        </w:rPr>
        <w:t>（五）有下列情况之一的，本条政策不予资助：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numPr>
          <w:ilvl w:val="255"/>
          <w:numId w:val="0"/>
        </w:numPr>
        <w:ind w:firstLine="521" w:firstLineChars="200"/>
        <w:rPr>
          <w:b/>
          <w:spacing w:val="10"/>
          <w:szCs w:val="24"/>
        </w:rPr>
      </w:pPr>
      <w:r>
        <w:rPr>
          <w:rFonts w:hint="eastAsia"/>
          <w:b/>
          <w:spacing w:val="10"/>
          <w:szCs w:val="24"/>
        </w:rPr>
        <w:t>五、所需材料及自查单</w:t>
      </w:r>
    </w:p>
    <w:p>
      <w:pPr>
        <w:numPr>
          <w:ilvl w:val="255"/>
          <w:numId w:val="0"/>
        </w:numPr>
        <w:ind w:firstLine="513" w:firstLineChars="200"/>
      </w:pPr>
      <w:r>
        <w:rPr>
          <w:rFonts w:hint="eastAsia"/>
          <w:b/>
          <w:bCs/>
          <w:spacing w:val="8"/>
          <w:szCs w:val="24"/>
        </w:rPr>
        <w:t>所有纸质申报材料一式两份，A4纸双面打印，编制目录和页码，胶装成册，每页需加盖单位公章，并加盖骑缝章。</w:t>
      </w:r>
    </w:p>
    <w:tbl>
      <w:tblPr>
        <w:tblStyle w:val="22"/>
        <w:tblW w:w="861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1"/>
        <w:gridCol w:w="1418"/>
        <w:gridCol w:w="5544"/>
        <w:gridCol w:w="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86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9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w:t>
            </w:r>
          </w:p>
          <w:p>
            <w:pPr>
              <w:ind w:firstLine="0" w:firstLineChars="0"/>
              <w:jc w:val="center"/>
              <w:rPr>
                <w:szCs w:val="28"/>
              </w:rPr>
            </w:pPr>
            <w:r>
              <w:rPr>
                <w:rFonts w:hint="eastAsia"/>
                <w:szCs w:val="28"/>
              </w:rPr>
              <w:t>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41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4"/>
              </w:rPr>
            </w:pPr>
            <w:r>
              <w:rPr>
                <w:rFonts w:hint="eastAsia"/>
                <w:spacing w:val="8"/>
                <w:szCs w:val="24"/>
              </w:rPr>
              <w:t>1.《支持金融业发展类—支持新型金融机构集聚发展专项资助项目申报书》；</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418"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4"/>
              </w:rPr>
            </w:pPr>
            <w:r>
              <w:rPr>
                <w:rFonts w:hint="eastAsia"/>
                <w:spacing w:val="8"/>
                <w:szCs w:val="24"/>
              </w:rPr>
              <w:t>2.营业执照复印件（三证合一新版）（验原件，收复印件）；</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418"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861"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41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4"/>
              </w:rPr>
            </w:pPr>
            <w:r>
              <w:rPr>
                <w:rFonts w:hint="eastAsia"/>
                <w:spacing w:val="8"/>
                <w:szCs w:val="24"/>
              </w:rPr>
              <w:t>4.年度累计获区经济发展专项资金资助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2" w:hRule="atLeast"/>
        </w:trPr>
        <w:tc>
          <w:tcPr>
            <w:tcW w:w="861"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41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申报本条资助的还需提供</w:t>
            </w:r>
          </w:p>
        </w:tc>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8"/>
              </w:rPr>
            </w:pPr>
            <w:r>
              <w:rPr>
                <w:rFonts w:hint="eastAsia"/>
                <w:spacing w:val="8"/>
                <w:szCs w:val="28"/>
              </w:rPr>
              <w:t>5.</w:t>
            </w:r>
            <w:r>
              <w:rPr>
                <w:rFonts w:hint="eastAsia"/>
                <w:spacing w:val="8"/>
                <w:szCs w:val="24"/>
              </w:rPr>
              <w:t>科技支行需提供</w:t>
            </w:r>
            <w:r>
              <w:rPr>
                <w:rFonts w:hint="eastAsia"/>
                <w:spacing w:val="8"/>
                <w:szCs w:val="28"/>
              </w:rPr>
              <w:t>一级分行及以上管理机构（或深圳市行政区域内法人银行机构）发文并确定针对科技型企业的单独授信政策的证明材料，包括但不限于单独的准入条件、单独的审批流程、单独的授信产品、单独的人员配置等（验原件，收复印件）；</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861"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41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pPr>
              <w:ind w:left="205" w:hanging="204" w:hangingChars="80"/>
              <w:rPr>
                <w:spacing w:val="8"/>
                <w:szCs w:val="28"/>
              </w:rPr>
            </w:pPr>
            <w:r>
              <w:rPr>
                <w:rFonts w:hint="eastAsia"/>
                <w:spacing w:val="8"/>
                <w:szCs w:val="28"/>
              </w:rPr>
              <w:t>6</w:t>
            </w:r>
            <w:r>
              <w:rPr>
                <w:spacing w:val="8"/>
                <w:szCs w:val="28"/>
              </w:rPr>
              <w:t>.</w:t>
            </w:r>
            <w:r>
              <w:rPr>
                <w:rFonts w:hint="eastAsia"/>
                <w:spacing w:val="8"/>
                <w:szCs w:val="24"/>
              </w:rPr>
              <w:t>绿色金融专营机构需提供</w:t>
            </w:r>
            <w:r>
              <w:rPr>
                <w:rFonts w:hint="eastAsia"/>
                <w:spacing w:val="8"/>
                <w:szCs w:val="28"/>
              </w:rPr>
              <w:t>市级相关部门网站公示截图；</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86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69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86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 w:hRule="atLeast"/>
        </w:trPr>
        <w:tc>
          <w:tcPr>
            <w:tcW w:w="86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tc>
      </w:tr>
    </w:tbl>
    <w:p>
      <w:pPr>
        <w:pStyle w:val="5"/>
        <w:spacing w:line="360" w:lineRule="auto"/>
        <w:ind w:firstLine="562"/>
        <w:jc w:val="center"/>
        <w:rPr>
          <w:rFonts w:ascii="黑体" w:hAnsi="黑体" w:eastAsia="黑体" w:cs="黑体"/>
          <w:bCs w:val="0"/>
          <w:sz w:val="28"/>
          <w:szCs w:val="28"/>
        </w:rPr>
        <w:sectPr>
          <w:footerReference r:id="rId13" w:type="default"/>
          <w:pgSz w:w="11906" w:h="16838"/>
          <w:pgMar w:top="1440" w:right="1800" w:bottom="1440" w:left="1800" w:header="851" w:footer="992" w:gutter="0"/>
          <w:cols w:space="720" w:num="1"/>
          <w:docGrid w:type="lines" w:linePitch="312" w:charSpace="0"/>
        </w:sectPr>
      </w:pPr>
    </w:p>
    <w:p>
      <w:pPr>
        <w:pStyle w:val="5"/>
        <w:spacing w:line="360" w:lineRule="auto"/>
        <w:ind w:firstLine="0" w:firstLineChars="0"/>
        <w:jc w:val="center"/>
        <w:rPr>
          <w:rFonts w:ascii="黑体" w:hAnsi="黑体" w:eastAsia="黑体" w:cs="黑体"/>
          <w:bCs w:val="0"/>
          <w:sz w:val="32"/>
        </w:rPr>
      </w:pPr>
      <w:bookmarkStart w:id="83" w:name="_Toc130905467"/>
      <w:bookmarkStart w:id="84" w:name="_Toc138949336"/>
      <w:r>
        <w:rPr>
          <w:rFonts w:hint="eastAsia" w:ascii="黑体" w:hAnsi="黑体" w:eastAsia="黑体" w:cs="黑体"/>
          <w:bCs w:val="0"/>
          <w:sz w:val="28"/>
          <w:szCs w:val="28"/>
        </w:rPr>
        <w:t>第二章 支持商贸业发展</w:t>
      </w:r>
      <w:bookmarkEnd w:id="77"/>
      <w:bookmarkEnd w:id="78"/>
      <w:bookmarkEnd w:id="79"/>
      <w:bookmarkEnd w:id="80"/>
      <w:bookmarkEnd w:id="81"/>
      <w:bookmarkEnd w:id="82"/>
      <w:bookmarkEnd w:id="83"/>
      <w:bookmarkEnd w:id="84"/>
    </w:p>
    <w:p>
      <w:pPr>
        <w:pStyle w:val="28"/>
        <w:spacing w:before="312" w:line="360" w:lineRule="auto"/>
        <w:outlineLvl w:val="2"/>
        <w:rPr>
          <w:bCs/>
        </w:rPr>
      </w:pPr>
      <w:bookmarkStart w:id="85" w:name="_Toc74931555"/>
      <w:bookmarkStart w:id="86" w:name="_Toc32141"/>
      <w:bookmarkStart w:id="87" w:name="_Toc1795603160"/>
      <w:bookmarkStart w:id="88" w:name="_Toc356846989"/>
      <w:bookmarkStart w:id="89" w:name="_Toc1045481853"/>
      <w:bookmarkStart w:id="90" w:name="_Toc740619757"/>
      <w:bookmarkStart w:id="91" w:name="_Toc130905468"/>
      <w:bookmarkStart w:id="92" w:name="_Toc138949337"/>
      <w:r>
        <w:rPr>
          <w:rFonts w:hint="eastAsia"/>
        </w:rPr>
        <w:t xml:space="preserve">第三节 </w:t>
      </w:r>
      <w:bookmarkEnd w:id="85"/>
      <w:bookmarkEnd w:id="86"/>
      <w:bookmarkEnd w:id="87"/>
      <w:bookmarkEnd w:id="88"/>
      <w:bookmarkEnd w:id="89"/>
      <w:bookmarkEnd w:id="90"/>
      <w:r>
        <w:rPr>
          <w:rFonts w:hint="eastAsia"/>
        </w:rPr>
        <w:t>支持商业集聚发展专项资助</w:t>
      </w:r>
      <w:bookmarkEnd w:id="91"/>
      <w:bookmarkEnd w:id="92"/>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（一）支持制造业企业设立销售公司</w:t>
      </w:r>
    </w:p>
    <w:p>
      <w:pPr>
        <w:ind w:firstLine="512"/>
        <w:rPr>
          <w:spacing w:val="8"/>
          <w:szCs w:val="24"/>
        </w:rPr>
      </w:pPr>
      <w:r>
        <w:rPr>
          <w:rFonts w:hint="eastAsia"/>
          <w:spacing w:val="8"/>
          <w:szCs w:val="24"/>
        </w:rPr>
        <w:t>对坪山区制造业企业上年度在区内新设立的销售公司，销售额超过1亿元的部分按0.5%，给予单个企业最高200万元一次性奖励。</w:t>
      </w:r>
    </w:p>
    <w:p>
      <w:pPr>
        <w:ind w:firstLine="512"/>
        <w:rPr>
          <w:spacing w:val="8"/>
          <w:szCs w:val="24"/>
        </w:rPr>
      </w:pPr>
      <w:r>
        <w:rPr>
          <w:rFonts w:hint="eastAsia"/>
          <w:spacing w:val="8"/>
          <w:szCs w:val="24"/>
        </w:rPr>
        <w:t>（二）支持住宿餐饮企业落户</w:t>
      </w:r>
    </w:p>
    <w:p>
      <w:pPr>
        <w:ind w:firstLine="512"/>
        <w:rPr>
          <w:spacing w:val="8"/>
          <w:szCs w:val="24"/>
        </w:rPr>
      </w:pPr>
      <w:r>
        <w:rPr>
          <w:rFonts w:hint="eastAsia"/>
          <w:spacing w:val="8"/>
          <w:szCs w:val="24"/>
        </w:rPr>
        <w:t>对新设立或新迁入的住宿、餐饮企业，落户当年或第一个会计年度销售额5000万元以上的，按年度销售额的5‰，给予最高100万元一次性奖励。</w:t>
      </w:r>
    </w:p>
    <w:p>
      <w:pPr>
        <w:ind w:firstLine="512"/>
        <w:rPr>
          <w:spacing w:val="8"/>
          <w:szCs w:val="24"/>
        </w:rPr>
      </w:pPr>
      <w:r>
        <w:rPr>
          <w:rFonts w:hint="eastAsia"/>
          <w:spacing w:val="8"/>
          <w:szCs w:val="24"/>
        </w:rPr>
        <w:t>（三）支持企业“小升规”</w:t>
      </w:r>
    </w:p>
    <w:p>
      <w:pPr>
        <w:ind w:firstLine="512"/>
        <w:rPr>
          <w:spacing w:val="8"/>
          <w:szCs w:val="24"/>
        </w:rPr>
      </w:pPr>
      <w:r>
        <w:rPr>
          <w:rFonts w:hint="eastAsia"/>
          <w:spacing w:val="8"/>
          <w:szCs w:val="24"/>
        </w:rPr>
        <w:t>对首次纳入坪山“限上”企业库的批发、零售、住宿、餐饮企业，给予5万元一次性奖励；对入库次年实现销售额（营业额）正增长的，再给予5万元一次性奖励。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highlight w:val="yellow"/>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p>
    <w:p>
      <w:pPr>
        <w:ind w:firstLine="512"/>
        <w:rPr>
          <w:spacing w:val="8"/>
          <w:szCs w:val="24"/>
        </w:rPr>
      </w:pPr>
      <w:r>
        <w:rPr>
          <w:rFonts w:hint="eastAsia"/>
          <w:spacing w:val="8"/>
          <w:szCs w:val="24"/>
        </w:rPr>
        <w:t>（二）申报本条资助的，可不受上年度区级财力贡献限制；</w:t>
      </w:r>
    </w:p>
    <w:p>
      <w:pPr>
        <w:ind w:firstLine="512"/>
        <w:rPr>
          <w:rFonts w:ascii="宋体" w:hAnsi="宋体" w:cs="宋体"/>
          <w:szCs w:val="24"/>
        </w:rPr>
      </w:pPr>
      <w:r>
        <w:rPr>
          <w:rFonts w:hint="eastAsia"/>
          <w:spacing w:val="8"/>
          <w:szCs w:val="24"/>
        </w:rPr>
        <w:t>（三）申报本条第（一）款资助的销售企业，</w:t>
      </w:r>
      <w:r>
        <w:rPr>
          <w:rFonts w:ascii="宋体" w:hAnsi="宋体" w:cs="宋体"/>
          <w:szCs w:val="24"/>
        </w:rPr>
        <w:t>以企业所得税年度纳税申报表所属国民经济行业分类（行业代码前</w:t>
      </w:r>
      <w:r>
        <w:rPr>
          <w:rFonts w:hint="eastAsia" w:ascii="宋体" w:hAnsi="宋体" w:cs="宋体"/>
          <w:szCs w:val="24"/>
        </w:rPr>
        <w:t>三</w:t>
      </w:r>
      <w:r>
        <w:rPr>
          <w:rFonts w:ascii="宋体" w:hAnsi="宋体" w:cs="宋体"/>
          <w:szCs w:val="24"/>
        </w:rPr>
        <w:t>位在</w:t>
      </w:r>
      <w:r>
        <w:rPr>
          <w:rFonts w:hint="eastAsia" w:ascii="宋体" w:hAnsi="宋体" w:cs="宋体"/>
          <w:szCs w:val="24"/>
        </w:rPr>
        <w:t>5</w:t>
      </w:r>
      <w:r>
        <w:rPr>
          <w:rFonts w:ascii="宋体" w:hAnsi="宋体" w:cs="宋体"/>
          <w:szCs w:val="24"/>
        </w:rPr>
        <w:t>13到</w:t>
      </w:r>
      <w:r>
        <w:rPr>
          <w:rFonts w:hint="eastAsia" w:ascii="宋体" w:hAnsi="宋体" w:cs="宋体"/>
          <w:szCs w:val="24"/>
        </w:rPr>
        <w:t>519</w:t>
      </w:r>
      <w:r>
        <w:rPr>
          <w:rFonts w:ascii="宋体" w:hAnsi="宋体" w:cs="宋体"/>
          <w:szCs w:val="24"/>
        </w:rPr>
        <w:t>之间</w:t>
      </w:r>
      <w:r>
        <w:rPr>
          <w:rFonts w:hint="eastAsia" w:ascii="宋体" w:hAnsi="宋体" w:cs="宋体"/>
          <w:szCs w:val="24"/>
        </w:rPr>
        <w:t>及522到528之间</w:t>
      </w:r>
      <w:r>
        <w:rPr>
          <w:rFonts w:ascii="宋体" w:hAnsi="宋体" w:cs="宋体"/>
          <w:szCs w:val="24"/>
        </w:rPr>
        <w:t>）为准</w:t>
      </w:r>
      <w:r>
        <w:rPr>
          <w:rFonts w:hint="eastAsia" w:ascii="宋体" w:hAnsi="宋体" w:cs="宋体"/>
          <w:szCs w:val="24"/>
        </w:rPr>
        <w:t>；</w:t>
      </w:r>
    </w:p>
    <w:p>
      <w:pPr>
        <w:ind w:firstLine="480"/>
        <w:rPr>
          <w:rFonts w:ascii="宋体" w:hAnsi="宋体" w:cs="宋体"/>
          <w:szCs w:val="24"/>
        </w:rPr>
      </w:pPr>
      <w:r>
        <w:rPr>
          <w:rFonts w:hint="eastAsia" w:ascii="宋体" w:hAnsi="宋体" w:cs="宋体"/>
          <w:szCs w:val="24"/>
        </w:rPr>
        <w:t>（四）</w:t>
      </w:r>
      <w:r>
        <w:rPr>
          <w:rFonts w:hint="eastAsia"/>
          <w:spacing w:val="8"/>
          <w:szCs w:val="24"/>
        </w:rPr>
        <w:t>申报本条第（二）款资助的住宿、餐饮企业，</w:t>
      </w:r>
      <w:r>
        <w:rPr>
          <w:rFonts w:ascii="宋体" w:hAnsi="宋体" w:cs="宋体"/>
          <w:szCs w:val="24"/>
        </w:rPr>
        <w:t>以企业所得税年度纳税申报表所属国民经济行业分类（行业代码前</w:t>
      </w:r>
      <w:r>
        <w:rPr>
          <w:rFonts w:hint="eastAsia" w:ascii="宋体" w:hAnsi="宋体" w:cs="宋体"/>
          <w:szCs w:val="24"/>
        </w:rPr>
        <w:t>两位为61、62</w:t>
      </w:r>
      <w:r>
        <w:rPr>
          <w:rFonts w:ascii="宋体" w:hAnsi="宋体" w:cs="宋体"/>
          <w:szCs w:val="24"/>
        </w:rPr>
        <w:t>）为准</w:t>
      </w:r>
      <w:r>
        <w:rPr>
          <w:rFonts w:hint="eastAsia" w:ascii="宋体" w:hAnsi="宋体" w:cs="宋体"/>
          <w:szCs w:val="24"/>
        </w:rPr>
        <w:t>；</w:t>
      </w:r>
    </w:p>
    <w:p>
      <w:pPr>
        <w:ind w:firstLine="512"/>
        <w:rPr>
          <w:rFonts w:ascii="宋体" w:hAnsi="宋体" w:cs="宋体"/>
          <w:szCs w:val="24"/>
        </w:rPr>
      </w:pPr>
      <w:r>
        <w:rPr>
          <w:rFonts w:hint="eastAsia"/>
          <w:spacing w:val="8"/>
          <w:szCs w:val="24"/>
        </w:rPr>
        <w:t>（五）申报本条第（三）款资助的批发、零售、住宿、餐饮企业，</w:t>
      </w:r>
      <w:r>
        <w:rPr>
          <w:rFonts w:ascii="宋体" w:hAnsi="宋体" w:cs="宋体"/>
          <w:szCs w:val="24"/>
        </w:rPr>
        <w:t>以企业所得税年度纳税申报表所属国民经济行业分类（行业代码前</w:t>
      </w:r>
      <w:r>
        <w:rPr>
          <w:rFonts w:hint="eastAsia" w:ascii="宋体" w:hAnsi="宋体" w:cs="宋体"/>
          <w:szCs w:val="24"/>
        </w:rPr>
        <w:t>两位为</w:t>
      </w:r>
      <w:r>
        <w:rPr>
          <w:rFonts w:ascii="宋体" w:hAnsi="宋体" w:cs="宋体"/>
          <w:szCs w:val="24"/>
        </w:rPr>
        <w:t>51</w:t>
      </w:r>
      <w:r>
        <w:rPr>
          <w:rFonts w:hint="eastAsia" w:ascii="宋体" w:hAnsi="宋体" w:cs="宋体"/>
          <w:szCs w:val="24"/>
        </w:rPr>
        <w:t>、5</w:t>
      </w:r>
      <w:r>
        <w:rPr>
          <w:rFonts w:ascii="宋体" w:hAnsi="宋体" w:cs="宋体"/>
          <w:szCs w:val="24"/>
        </w:rPr>
        <w:t>2</w:t>
      </w:r>
      <w:r>
        <w:rPr>
          <w:rFonts w:hint="eastAsia" w:ascii="宋体" w:hAnsi="宋体" w:cs="宋体"/>
          <w:szCs w:val="24"/>
        </w:rPr>
        <w:t>、61、62</w:t>
      </w:r>
      <w:r>
        <w:rPr>
          <w:rFonts w:ascii="宋体" w:hAnsi="宋体" w:cs="宋体"/>
          <w:szCs w:val="24"/>
        </w:rPr>
        <w:t>）为准</w:t>
      </w:r>
      <w:r>
        <w:rPr>
          <w:rFonts w:hint="eastAsia" w:ascii="宋体" w:hAnsi="宋体" w:cs="宋体"/>
          <w:szCs w:val="24"/>
        </w:rPr>
        <w:t>；</w:t>
      </w:r>
    </w:p>
    <w:p>
      <w:pPr>
        <w:ind w:firstLine="512"/>
        <w:rPr>
          <w:spacing w:val="8"/>
          <w:szCs w:val="24"/>
        </w:rPr>
      </w:pPr>
      <w:r>
        <w:rPr>
          <w:rFonts w:hint="eastAsia"/>
          <w:spacing w:val="8"/>
          <w:szCs w:val="24"/>
        </w:rPr>
        <w:t>（六）有下列情况之一的，本条政策不予资助：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（七）本条第（二）款和第（三）款不能同时申报。</w:t>
      </w:r>
    </w:p>
    <w:p>
      <w:pPr>
        <w:ind w:firstLine="480"/>
      </w:pPr>
      <w:r>
        <w:rPr>
          <w:rFonts w:hint="eastAsia"/>
        </w:rPr>
        <w:t>（八）本条第（三）款申报与审核流程，见第一部分“经济发展专项资金资助项目申报与审核流程”的免申即享。</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五、本条第（一）款和第二款</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
      <w:tblGrid>
        <w:gridCol w:w="851"/>
        <w:gridCol w:w="1276"/>
        <w:gridCol w:w="595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45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230"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w:t>
            </w:r>
          </w:p>
          <w:p>
            <w:pPr>
              <w:ind w:firstLine="0" w:firstLineChars="0"/>
              <w:jc w:val="center"/>
              <w:rPr>
                <w:szCs w:val="28"/>
              </w:rPr>
            </w:pPr>
            <w:r>
              <w:rPr>
                <w:rFonts w:hint="eastAsia"/>
                <w:szCs w:val="28"/>
              </w:rPr>
              <w:t>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38" w:hRule="atLeast"/>
          <w:jc w:val="center"/>
        </w:trPr>
        <w:tc>
          <w:tcPr>
            <w:tcW w:w="85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276"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954"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1.《支持商贸业发展类—支持商业集聚发展专项资助项目申报书》；</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38" w:hRule="atLeast"/>
          <w:jc w:val="center"/>
        </w:trPr>
        <w:tc>
          <w:tcPr>
            <w:tcW w:w="85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38" w:hRule="atLeast"/>
          <w:jc w:val="center"/>
        </w:trPr>
        <w:tc>
          <w:tcPr>
            <w:tcW w:w="85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38" w:hRule="atLeast"/>
          <w:jc w:val="center"/>
        </w:trPr>
        <w:tc>
          <w:tcPr>
            <w:tcW w:w="85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1059" w:hRule="atLeast"/>
          <w:jc w:val="center"/>
        </w:trPr>
        <w:tc>
          <w:tcPr>
            <w:tcW w:w="851"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1059" w:hRule="atLeast"/>
          <w:jc w:val="center"/>
        </w:trPr>
        <w:tc>
          <w:tcPr>
            <w:tcW w:w="851"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276"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申报本条第（一）款资助的还需同时提供</w:t>
            </w:r>
          </w:p>
        </w:tc>
        <w:tc>
          <w:tcPr>
            <w:tcW w:w="5954" w:type="dxa"/>
            <w:tcBorders>
              <w:top w:val="single" w:color="auto" w:sz="4" w:space="0"/>
              <w:left w:val="single" w:color="auto" w:sz="4" w:space="0"/>
              <w:bottom w:val="single" w:color="auto" w:sz="4" w:space="0"/>
              <w:right w:val="single" w:color="auto" w:sz="4" w:space="0"/>
            </w:tcBorders>
            <w:vAlign w:val="center"/>
          </w:tcPr>
          <w:p>
            <w:pPr>
              <w:ind w:left="256" w:hanging="256" w:hangingChars="100"/>
              <w:rPr>
                <w:szCs w:val="28"/>
              </w:rPr>
            </w:pPr>
            <w:r>
              <w:rPr>
                <w:rFonts w:hint="eastAsia"/>
                <w:spacing w:val="8"/>
                <w:szCs w:val="24"/>
              </w:rPr>
              <w:t>6.制造业企业与销售公司关系证明（国家企业信用信息公示系统截图）；</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1059" w:hRule="atLeast"/>
          <w:jc w:val="center"/>
        </w:trPr>
        <w:tc>
          <w:tcPr>
            <w:tcW w:w="851"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276"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申报本条第（二）款资助的还需同时提供</w:t>
            </w:r>
          </w:p>
        </w:tc>
        <w:tc>
          <w:tcPr>
            <w:tcW w:w="5954"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7</w:t>
            </w:r>
            <w:r>
              <w:rPr>
                <w:szCs w:val="28"/>
              </w:rPr>
              <w:t>.</w:t>
            </w:r>
            <w:r>
              <w:rPr>
                <w:rFonts w:hint="eastAsia"/>
                <w:szCs w:val="28"/>
              </w:rPr>
              <w:t>2022年12月份增值税申报表主表，2022年度企业所得税申报表主表；</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45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7230"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455" w:hRule="atLeast"/>
          <w:jc w:val="center"/>
        </w:trPr>
        <w:tc>
          <w:tcPr>
            <w:tcW w:w="891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85" w:hRule="atLeast"/>
          <w:jc w:val="center"/>
        </w:trPr>
        <w:tc>
          <w:tcPr>
            <w:tcW w:w="891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szCs w:val="24"/>
              </w:rPr>
            </w:pPr>
          </w:p>
        </w:tc>
      </w:tr>
    </w:tbl>
    <w:p>
      <w:pPr>
        <w:ind w:firstLine="480"/>
      </w:pPr>
      <w:bookmarkStart w:id="93" w:name="_Toc825032582"/>
      <w:bookmarkStart w:id="94" w:name="_Toc74931556"/>
      <w:bookmarkStart w:id="95" w:name="_Toc128880584"/>
      <w:bookmarkStart w:id="96" w:name="_Toc1632086210"/>
      <w:bookmarkStart w:id="97" w:name="_Toc1741"/>
      <w:bookmarkStart w:id="98" w:name="_Toc296197040"/>
      <w:r>
        <w:rPr>
          <w:rFonts w:hint="eastAsia"/>
        </w:rPr>
        <w:br w:type="page"/>
      </w:r>
    </w:p>
    <w:p>
      <w:pPr>
        <w:pStyle w:val="28"/>
        <w:spacing w:before="312" w:line="360" w:lineRule="auto"/>
        <w:outlineLvl w:val="2"/>
        <w:rPr>
          <w:bCs/>
        </w:rPr>
      </w:pPr>
      <w:bookmarkStart w:id="99" w:name="_Toc130905469"/>
      <w:bookmarkStart w:id="100" w:name="_Toc138949338"/>
      <w:r>
        <w:rPr>
          <w:rFonts w:hint="eastAsia"/>
        </w:rPr>
        <w:t>第四节 支持商业高质高速发展专项资助</w:t>
      </w:r>
      <w:bookmarkEnd w:id="99"/>
      <w:bookmarkEnd w:id="100"/>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（一）支持批发企业快速增长</w:t>
      </w:r>
    </w:p>
    <w:p>
      <w:pPr>
        <w:ind w:firstLine="512"/>
        <w:rPr>
          <w:spacing w:val="8"/>
          <w:szCs w:val="24"/>
        </w:rPr>
      </w:pPr>
      <w:r>
        <w:rPr>
          <w:rFonts w:hint="eastAsia"/>
          <w:spacing w:val="8"/>
          <w:szCs w:val="24"/>
        </w:rPr>
        <w:t>1.对销售额10亿元以上、100亿元以下，上年度增长25%以上的批发企业，按增长部分的0.3‰，给予最高100万元奖励。</w:t>
      </w:r>
    </w:p>
    <w:p>
      <w:pPr>
        <w:ind w:firstLine="512"/>
        <w:rPr>
          <w:spacing w:val="8"/>
          <w:szCs w:val="24"/>
        </w:rPr>
      </w:pPr>
      <w:r>
        <w:rPr>
          <w:rFonts w:hint="eastAsia"/>
          <w:spacing w:val="8"/>
          <w:szCs w:val="24"/>
        </w:rPr>
        <w:t>2.对销售额100亿元以上、500亿元以下，上年度增长20%以上的批发企业，按增长部分的0.3‰，给予最高150万元奖励。</w:t>
      </w:r>
    </w:p>
    <w:p>
      <w:pPr>
        <w:ind w:firstLine="512"/>
        <w:rPr>
          <w:spacing w:val="8"/>
          <w:szCs w:val="24"/>
        </w:rPr>
      </w:pPr>
      <w:r>
        <w:rPr>
          <w:rFonts w:hint="eastAsia"/>
          <w:spacing w:val="8"/>
          <w:szCs w:val="24"/>
        </w:rPr>
        <w:t>（二）支持零售企业快速增长</w:t>
      </w:r>
    </w:p>
    <w:p>
      <w:pPr>
        <w:ind w:firstLine="512"/>
        <w:rPr>
          <w:spacing w:val="8"/>
          <w:szCs w:val="24"/>
        </w:rPr>
      </w:pPr>
      <w:r>
        <w:rPr>
          <w:rFonts w:hint="eastAsia"/>
          <w:spacing w:val="8"/>
          <w:szCs w:val="24"/>
        </w:rPr>
        <w:t>1.对销售额1亿元以上、5亿元以下，上年度增长25%以上的零售企业，按增长部分的2‰，给予最高100万元奖励。</w:t>
      </w:r>
    </w:p>
    <w:p>
      <w:pPr>
        <w:ind w:firstLine="512"/>
        <w:rPr>
          <w:spacing w:val="8"/>
          <w:szCs w:val="24"/>
        </w:rPr>
      </w:pPr>
      <w:r>
        <w:rPr>
          <w:rFonts w:hint="eastAsia"/>
          <w:spacing w:val="8"/>
          <w:szCs w:val="24"/>
        </w:rPr>
        <w:t>2.对销售额5亿元以上，上年度增长20%以上的零售企业，按增长部分的2‰，给予最高200万元奖励。</w:t>
      </w:r>
    </w:p>
    <w:p>
      <w:pPr>
        <w:ind w:firstLine="512"/>
        <w:rPr>
          <w:spacing w:val="8"/>
          <w:szCs w:val="24"/>
        </w:rPr>
      </w:pPr>
      <w:r>
        <w:rPr>
          <w:rFonts w:hint="eastAsia"/>
          <w:spacing w:val="8"/>
          <w:szCs w:val="24"/>
        </w:rPr>
        <w:t>（三）支持住宿餐饮企业快速增长</w:t>
      </w:r>
    </w:p>
    <w:p>
      <w:pPr>
        <w:ind w:firstLine="512"/>
        <w:rPr>
          <w:spacing w:val="8"/>
          <w:szCs w:val="24"/>
        </w:rPr>
      </w:pPr>
      <w:r>
        <w:rPr>
          <w:rFonts w:hint="eastAsia"/>
          <w:spacing w:val="8"/>
          <w:szCs w:val="24"/>
        </w:rPr>
        <w:t>1.对</w:t>
      </w:r>
      <w:r>
        <w:rPr>
          <w:rFonts w:hint="eastAsia"/>
        </w:rPr>
        <w:t>营业额</w:t>
      </w:r>
      <w:r>
        <w:rPr>
          <w:rFonts w:hint="eastAsia"/>
          <w:spacing w:val="8"/>
          <w:szCs w:val="24"/>
        </w:rPr>
        <w:t>1000万元以上、5000万元以下，上年度增长25%以上的住宿餐饮企业，按增长部分的5‰，给予最高20万元奖励。</w:t>
      </w:r>
    </w:p>
    <w:p>
      <w:pPr>
        <w:ind w:firstLine="512"/>
        <w:rPr>
          <w:spacing w:val="8"/>
          <w:szCs w:val="24"/>
        </w:rPr>
      </w:pPr>
      <w:r>
        <w:rPr>
          <w:rFonts w:hint="eastAsia"/>
          <w:spacing w:val="8"/>
          <w:szCs w:val="24"/>
        </w:rPr>
        <w:t>2.对</w:t>
      </w:r>
      <w:r>
        <w:rPr>
          <w:rFonts w:hint="eastAsia"/>
        </w:rPr>
        <w:t>营业额</w:t>
      </w:r>
      <w:r>
        <w:rPr>
          <w:rFonts w:hint="eastAsia"/>
          <w:spacing w:val="8"/>
          <w:szCs w:val="24"/>
        </w:rPr>
        <w:t>5000万元以上，上年度增长20%以上的住宿餐饮企业，按增长部分的5‰，给予最高50万元奖励。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r>
        <w:rPr>
          <w:spacing w:val="8"/>
          <w:szCs w:val="24"/>
        </w:rPr>
        <w:t>。</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p>
    <w:p>
      <w:pPr>
        <w:pStyle w:val="9"/>
        <w:ind w:firstLine="512"/>
        <w:rPr>
          <w:rFonts w:ascii="Times New Roman" w:hAnsi="Times New Roman"/>
          <w:spacing w:val="8"/>
          <w:sz w:val="24"/>
          <w:szCs w:val="24"/>
        </w:rPr>
      </w:pPr>
      <w:r>
        <w:rPr>
          <w:rFonts w:hint="eastAsia" w:ascii="Times New Roman" w:hAnsi="Times New Roman"/>
          <w:spacing w:val="8"/>
          <w:sz w:val="24"/>
          <w:szCs w:val="24"/>
        </w:rPr>
        <w:t>（二）申报本条第（一）款</w:t>
      </w:r>
      <w:r>
        <w:rPr>
          <w:rFonts w:hint="eastAsia"/>
          <w:spacing w:val="8"/>
          <w:sz w:val="24"/>
          <w:szCs w:val="24"/>
        </w:rPr>
        <w:t>资助</w:t>
      </w:r>
      <w:r>
        <w:rPr>
          <w:rFonts w:hint="eastAsia" w:ascii="Times New Roman" w:hAnsi="Times New Roman"/>
          <w:spacing w:val="8"/>
          <w:sz w:val="24"/>
          <w:szCs w:val="24"/>
        </w:rPr>
        <w:t>的批发企业，以企业所得税年度纳税申报表所属国民经济行业分类（行业代码前两位为5</w:t>
      </w:r>
      <w:r>
        <w:rPr>
          <w:rFonts w:ascii="Times New Roman" w:hAnsi="Times New Roman"/>
          <w:spacing w:val="8"/>
          <w:sz w:val="24"/>
          <w:szCs w:val="24"/>
        </w:rPr>
        <w:t>1</w:t>
      </w:r>
      <w:r>
        <w:rPr>
          <w:rFonts w:hint="eastAsia" w:ascii="Times New Roman" w:hAnsi="Times New Roman"/>
          <w:spacing w:val="8"/>
          <w:sz w:val="24"/>
          <w:szCs w:val="24"/>
        </w:rPr>
        <w:t>）为准；</w:t>
      </w:r>
    </w:p>
    <w:p>
      <w:pPr>
        <w:pStyle w:val="9"/>
        <w:ind w:firstLine="512"/>
        <w:rPr>
          <w:rFonts w:ascii="Times New Roman" w:hAnsi="Times New Roman"/>
          <w:spacing w:val="8"/>
          <w:sz w:val="24"/>
          <w:szCs w:val="24"/>
        </w:rPr>
      </w:pPr>
      <w:r>
        <w:rPr>
          <w:rFonts w:hint="eastAsia" w:ascii="Times New Roman" w:hAnsi="Times New Roman"/>
          <w:spacing w:val="8"/>
          <w:sz w:val="24"/>
          <w:szCs w:val="24"/>
        </w:rPr>
        <w:t>（三）申报本条第（三）款</w:t>
      </w:r>
      <w:r>
        <w:rPr>
          <w:rFonts w:hint="eastAsia"/>
          <w:spacing w:val="8"/>
          <w:sz w:val="24"/>
          <w:szCs w:val="24"/>
        </w:rPr>
        <w:t>资助</w:t>
      </w:r>
      <w:r>
        <w:rPr>
          <w:rFonts w:hint="eastAsia" w:ascii="Times New Roman" w:hAnsi="Times New Roman"/>
          <w:spacing w:val="8"/>
          <w:sz w:val="24"/>
          <w:szCs w:val="24"/>
        </w:rPr>
        <w:t>的零售企业，以企业所得税年度纳税申报表所属国民经济行业分类（行业代码前两位为5</w:t>
      </w:r>
      <w:r>
        <w:rPr>
          <w:rFonts w:ascii="Times New Roman" w:hAnsi="Times New Roman"/>
          <w:spacing w:val="8"/>
          <w:sz w:val="24"/>
          <w:szCs w:val="24"/>
        </w:rPr>
        <w:t>2</w:t>
      </w:r>
      <w:r>
        <w:rPr>
          <w:rFonts w:hint="eastAsia" w:ascii="Times New Roman" w:hAnsi="Times New Roman"/>
          <w:spacing w:val="8"/>
          <w:sz w:val="24"/>
          <w:szCs w:val="24"/>
        </w:rPr>
        <w:t>）为准；</w:t>
      </w:r>
    </w:p>
    <w:p>
      <w:pPr>
        <w:pStyle w:val="9"/>
        <w:ind w:firstLine="512"/>
        <w:rPr>
          <w:rFonts w:ascii="Times New Roman" w:hAnsi="Times New Roman"/>
          <w:spacing w:val="8"/>
          <w:sz w:val="24"/>
          <w:szCs w:val="24"/>
        </w:rPr>
      </w:pPr>
      <w:r>
        <w:rPr>
          <w:rFonts w:hint="eastAsia" w:ascii="Times New Roman" w:hAnsi="Times New Roman"/>
          <w:spacing w:val="8"/>
          <w:sz w:val="24"/>
          <w:szCs w:val="24"/>
        </w:rPr>
        <w:t>（四）申报</w:t>
      </w:r>
      <w:r>
        <w:rPr>
          <w:rFonts w:hAnsi="宋体" w:cs="宋体"/>
          <w:sz w:val="24"/>
          <w:szCs w:val="24"/>
        </w:rPr>
        <w:t>本条第（三）款</w:t>
      </w:r>
      <w:r>
        <w:rPr>
          <w:rFonts w:hint="eastAsia"/>
          <w:spacing w:val="8"/>
          <w:sz w:val="24"/>
          <w:szCs w:val="24"/>
        </w:rPr>
        <w:t>资助</w:t>
      </w:r>
      <w:r>
        <w:rPr>
          <w:rFonts w:hAnsi="宋体" w:cs="宋体"/>
          <w:sz w:val="24"/>
          <w:szCs w:val="24"/>
        </w:rPr>
        <w:t>的住宿、餐饮企业，以企业所得税年度纳税申报表所属国民经济行业分类（</w:t>
      </w:r>
      <w:r>
        <w:rPr>
          <w:rFonts w:hint="eastAsia" w:ascii="Times New Roman" w:hAnsi="Times New Roman"/>
          <w:spacing w:val="8"/>
          <w:sz w:val="24"/>
          <w:szCs w:val="24"/>
        </w:rPr>
        <w:t>行业代码前两位为</w:t>
      </w:r>
      <w:r>
        <w:rPr>
          <w:rFonts w:ascii="Times New Roman" w:hAnsi="Times New Roman"/>
          <w:spacing w:val="8"/>
          <w:sz w:val="24"/>
          <w:szCs w:val="24"/>
        </w:rPr>
        <w:t>61</w:t>
      </w:r>
      <w:r>
        <w:rPr>
          <w:rFonts w:hint="eastAsia" w:ascii="Times New Roman" w:hAnsi="Times New Roman"/>
          <w:spacing w:val="8"/>
          <w:sz w:val="24"/>
          <w:szCs w:val="24"/>
        </w:rPr>
        <w:t>、6</w:t>
      </w:r>
      <w:r>
        <w:rPr>
          <w:rFonts w:ascii="Times New Roman" w:hAnsi="Times New Roman"/>
          <w:spacing w:val="8"/>
          <w:sz w:val="24"/>
          <w:szCs w:val="24"/>
        </w:rPr>
        <w:t>2</w:t>
      </w:r>
      <w:r>
        <w:rPr>
          <w:rFonts w:hAnsi="宋体" w:cs="宋体"/>
          <w:sz w:val="24"/>
          <w:szCs w:val="24"/>
        </w:rPr>
        <w:t>）</w:t>
      </w:r>
      <w:r>
        <w:rPr>
          <w:rFonts w:hint="eastAsia" w:ascii="Times New Roman" w:hAnsi="Times New Roman"/>
          <w:spacing w:val="8"/>
          <w:sz w:val="24"/>
          <w:szCs w:val="24"/>
        </w:rPr>
        <w:t>为准</w:t>
      </w:r>
    </w:p>
    <w:p>
      <w:pPr>
        <w:ind w:firstLine="512"/>
        <w:rPr>
          <w:spacing w:val="8"/>
          <w:szCs w:val="24"/>
        </w:rPr>
      </w:pPr>
      <w:r>
        <w:rPr>
          <w:rFonts w:hint="eastAsia"/>
          <w:spacing w:val="8"/>
          <w:szCs w:val="24"/>
        </w:rPr>
        <w:t>（五）有下列情况之一的，本条政策不予资助：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w:t>
      </w:r>
    </w:p>
    <w:p>
      <w:pPr>
        <w:ind w:firstLine="512"/>
        <w:rPr>
          <w:spacing w:val="8"/>
          <w:szCs w:val="24"/>
        </w:rPr>
      </w:pPr>
      <w:r>
        <w:rPr>
          <w:rFonts w:hint="eastAsia"/>
          <w:spacing w:val="8"/>
          <w:szCs w:val="24"/>
        </w:rPr>
        <w:t>7.法律、法规规定的其他情形。</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1395"/>
        <w:gridCol w:w="5746"/>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41"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395"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1.《支持商贸业发展类—支持商业高质高速发展专项资助项目申报书》；</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395" w:type="dxa"/>
            <w:vMerge w:val="continue"/>
            <w:tcBorders>
              <w:left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395" w:type="dxa"/>
            <w:vMerge w:val="continue"/>
            <w:tcBorders>
              <w:left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395"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981"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395"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981"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395"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申报本条资助还需同时提供</w:t>
            </w: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6.</w:t>
            </w:r>
            <w:r>
              <w:t>2021</w:t>
            </w:r>
            <w:r>
              <w:rPr>
                <w:rFonts w:hint="eastAsia"/>
              </w:rPr>
              <w:t>、</w:t>
            </w:r>
            <w:r>
              <w:rPr>
                <w:rFonts w:hint="eastAsia"/>
                <w:szCs w:val="28"/>
              </w:rPr>
              <w:t>2022年12月份增值税申报表主表，</w:t>
            </w:r>
            <w:r>
              <w:t>2021</w:t>
            </w:r>
            <w:r>
              <w:rPr>
                <w:rFonts w:hint="eastAsia"/>
              </w:rPr>
              <w:t>、</w:t>
            </w:r>
            <w:r>
              <w:rPr>
                <w:rFonts w:hint="eastAsia"/>
                <w:szCs w:val="28"/>
              </w:rPr>
              <w:t>2022年度企业所得税申报表主表；</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7141"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pPr>
          </w:p>
          <w:p>
            <w:pPr>
              <w:ind w:firstLine="0" w:firstLineChars="0"/>
              <w:jc w:val="left"/>
            </w:pPr>
          </w:p>
          <w:p>
            <w:pPr>
              <w:pStyle w:val="9"/>
              <w:ind w:firstLine="360"/>
            </w:pPr>
          </w:p>
          <w:p>
            <w:pPr>
              <w:pStyle w:val="9"/>
              <w:ind w:firstLine="360"/>
            </w:pPr>
          </w:p>
        </w:tc>
      </w:tr>
    </w:tbl>
    <w:p>
      <w:pPr>
        <w:ind w:firstLine="480"/>
      </w:pPr>
      <w:r>
        <w:rPr>
          <w:rFonts w:hint="eastAsia"/>
        </w:rPr>
        <w:br w:type="page"/>
      </w:r>
    </w:p>
    <w:p>
      <w:pPr>
        <w:pStyle w:val="28"/>
        <w:spacing w:before="312" w:line="360" w:lineRule="auto"/>
        <w:outlineLvl w:val="2"/>
      </w:pPr>
      <w:bookmarkStart w:id="101" w:name="_Toc130905470"/>
      <w:bookmarkStart w:id="102" w:name="_Toc138949339"/>
      <w:r>
        <w:rPr>
          <w:rFonts w:hint="eastAsia"/>
        </w:rPr>
        <w:t>第五节 支持</w:t>
      </w:r>
      <w:bookmarkEnd w:id="93"/>
      <w:bookmarkEnd w:id="94"/>
      <w:bookmarkEnd w:id="95"/>
      <w:bookmarkEnd w:id="96"/>
      <w:bookmarkEnd w:id="97"/>
      <w:bookmarkEnd w:id="98"/>
      <w:r>
        <w:rPr>
          <w:rFonts w:hint="eastAsia"/>
        </w:rPr>
        <w:t>建设商业配套专项资助</w:t>
      </w:r>
      <w:bookmarkEnd w:id="101"/>
      <w:bookmarkEnd w:id="102"/>
    </w:p>
    <w:p>
      <w:pPr>
        <w:ind w:firstLine="514"/>
        <w:rPr>
          <w:b/>
          <w:bCs/>
          <w:spacing w:val="8"/>
          <w:szCs w:val="24"/>
        </w:rPr>
      </w:pPr>
      <w:r>
        <w:rPr>
          <w:rFonts w:hint="eastAsia"/>
          <w:b/>
          <w:bCs/>
          <w:spacing w:val="8"/>
          <w:szCs w:val="24"/>
        </w:rPr>
        <w:t>一、政策内容</w:t>
      </w:r>
    </w:p>
    <w:p>
      <w:pPr>
        <w:ind w:firstLine="512"/>
        <w:rPr>
          <w:spacing w:val="8"/>
          <w:szCs w:val="24"/>
        </w:rPr>
      </w:pPr>
      <w:bookmarkStart w:id="103" w:name="_Toc59548324"/>
      <w:r>
        <w:rPr>
          <w:rFonts w:hint="eastAsia"/>
          <w:spacing w:val="8"/>
          <w:szCs w:val="24"/>
        </w:rPr>
        <w:t>（一）支持商业综合体落户。对新开设的集中运营面积2(含)-3万平方米、3(含)-5万平方米、5万平方米以上的大型商业综合体，开业满一年后，分别给予运营机构200万元、400万元、600万元一次性奖励。</w:t>
      </w:r>
    </w:p>
    <w:bookmarkEnd w:id="103"/>
    <w:p>
      <w:pPr>
        <w:ind w:firstLine="512"/>
        <w:rPr>
          <w:spacing w:val="8"/>
          <w:szCs w:val="24"/>
        </w:rPr>
      </w:pPr>
      <w:r>
        <w:rPr>
          <w:rFonts w:hint="eastAsia"/>
          <w:spacing w:val="8"/>
          <w:szCs w:val="24"/>
        </w:rPr>
        <w:t>（二）</w:t>
      </w:r>
      <w:bookmarkStart w:id="104" w:name="_Hlk129939242"/>
      <w:r>
        <w:rPr>
          <w:rFonts w:hint="eastAsia"/>
          <w:spacing w:val="8"/>
          <w:szCs w:val="24"/>
        </w:rPr>
        <w:t>支持建设工业园区商业配套。对在2020年1月1日后竣工验收的占地面积5万平方米以上的工业园区内，</w:t>
      </w:r>
      <w:bookmarkEnd w:id="104"/>
      <w:r>
        <w:rPr>
          <w:rFonts w:hint="eastAsia"/>
          <w:spacing w:val="8"/>
          <w:szCs w:val="24"/>
        </w:rPr>
        <w:t>配建商业设施且投入运营的企业予以资助。其中，投资建设商业面积3000平方米以上且实现统一运营的企业，按装修费用的20%，给予最高400万元一次性资助</w:t>
      </w:r>
      <w:bookmarkStart w:id="105" w:name="_Hlk124071164"/>
      <w:r>
        <w:rPr>
          <w:rFonts w:hint="eastAsia"/>
          <w:spacing w:val="8"/>
          <w:szCs w:val="24"/>
        </w:rPr>
        <w:t>；投资建设公共食堂</w:t>
      </w:r>
      <w:bookmarkEnd w:id="105"/>
      <w:r>
        <w:rPr>
          <w:rFonts w:hint="eastAsia"/>
          <w:spacing w:val="8"/>
          <w:szCs w:val="24"/>
        </w:rPr>
        <w:t>的企业，经区工信部门备案，按固定资产投资额的50%，给予最高50万元一次性资助。</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rFonts w:cs="仿宋_GB2312"/>
          <w:kern w:val="0"/>
          <w:lang w:bidi="ar"/>
        </w:rPr>
      </w:pPr>
      <w:r>
        <w:rPr>
          <w:rFonts w:hint="eastAsia"/>
          <w:spacing w:val="8"/>
          <w:szCs w:val="24"/>
        </w:rPr>
        <w:t>（二）申报本条第（一）款资助的，须在202</w:t>
      </w:r>
      <w:r>
        <w:rPr>
          <w:spacing w:val="8"/>
          <w:szCs w:val="24"/>
        </w:rPr>
        <w:t>1</w:t>
      </w:r>
      <w:r>
        <w:rPr>
          <w:rFonts w:hint="eastAsia"/>
          <w:spacing w:val="8"/>
          <w:szCs w:val="24"/>
        </w:rPr>
        <w:t>年1月1日至</w:t>
      </w:r>
      <w:r>
        <w:rPr>
          <w:spacing w:val="8"/>
          <w:szCs w:val="24"/>
        </w:rPr>
        <w:t>2021</w:t>
      </w:r>
      <w:r>
        <w:rPr>
          <w:rFonts w:hint="eastAsia"/>
          <w:spacing w:val="8"/>
          <w:szCs w:val="24"/>
        </w:rPr>
        <w:t>年12月31日期间开业</w:t>
      </w:r>
      <w:r>
        <w:rPr>
          <w:rFonts w:hint="eastAsia" w:cs="仿宋_GB2312"/>
          <w:kern w:val="0"/>
          <w:lang w:bidi="ar"/>
        </w:rPr>
        <w:t>。</w:t>
      </w:r>
    </w:p>
    <w:p>
      <w:pPr>
        <w:ind w:firstLine="512"/>
        <w:rPr>
          <w:spacing w:val="8"/>
          <w:szCs w:val="24"/>
        </w:rPr>
      </w:pPr>
      <w:r>
        <w:rPr>
          <w:rFonts w:hint="eastAsia"/>
          <w:spacing w:val="8"/>
          <w:szCs w:val="24"/>
        </w:rPr>
        <w:t>（三）申报本条第（一）款资助的，可不受注册地、统计地、纳税地限制</w:t>
      </w:r>
      <w:r>
        <w:rPr>
          <w:rFonts w:hint="eastAsia" w:cs="仿宋_GB2312"/>
          <w:kern w:val="0"/>
          <w:lang w:bidi="ar"/>
        </w:rPr>
        <w:t>；</w:t>
      </w:r>
      <w:r>
        <w:rPr>
          <w:rFonts w:hint="eastAsia"/>
          <w:spacing w:val="8"/>
          <w:szCs w:val="24"/>
        </w:rPr>
        <w:t>可不受上年度区级财力贡献限制。</w:t>
      </w:r>
    </w:p>
    <w:p>
      <w:pPr>
        <w:pStyle w:val="9"/>
        <w:ind w:firstLine="512"/>
        <w:rPr>
          <w:rFonts w:ascii="Times New Roman" w:hAnsi="Times New Roman"/>
          <w:spacing w:val="8"/>
          <w:sz w:val="24"/>
          <w:szCs w:val="24"/>
        </w:rPr>
      </w:pPr>
      <w:r>
        <w:rPr>
          <w:rFonts w:hint="eastAsia" w:ascii="Times New Roman" w:hAnsi="Times New Roman"/>
          <w:spacing w:val="8"/>
          <w:sz w:val="24"/>
          <w:szCs w:val="24"/>
        </w:rPr>
        <w:t>（四）申报本条第（一）款</w:t>
      </w:r>
      <w:r>
        <w:rPr>
          <w:rFonts w:hint="eastAsia"/>
          <w:spacing w:val="8"/>
          <w:sz w:val="24"/>
          <w:szCs w:val="24"/>
        </w:rPr>
        <w:t>资助</w:t>
      </w:r>
      <w:r>
        <w:rPr>
          <w:rFonts w:hint="eastAsia" w:ascii="Times New Roman" w:hAnsi="Times New Roman"/>
          <w:spacing w:val="8"/>
          <w:sz w:val="24"/>
          <w:szCs w:val="24"/>
        </w:rPr>
        <w:t>的商业综合体，以企业所得税年度纳税申报表所属国民经济行业分类（行业代码前三位为521）为准；</w:t>
      </w:r>
    </w:p>
    <w:p>
      <w:pPr>
        <w:ind w:firstLine="512"/>
        <w:rPr>
          <w:spacing w:val="8"/>
          <w:szCs w:val="24"/>
        </w:rPr>
      </w:pPr>
      <w:r>
        <w:rPr>
          <w:rFonts w:hint="eastAsia"/>
          <w:spacing w:val="8"/>
          <w:szCs w:val="24"/>
        </w:rPr>
        <w:t>（五）有下列情况之一的，本条政策不予资助：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adjustRightInd w:val="0"/>
        <w:snapToGrid w:val="0"/>
        <w:ind w:firstLine="256" w:firstLineChars="100"/>
        <w:rPr>
          <w:spacing w:val="8"/>
          <w:szCs w:val="24"/>
        </w:rPr>
      </w:pPr>
      <w:r>
        <w:rPr>
          <w:rFonts w:hint="eastAsia"/>
          <w:spacing w:val="8"/>
          <w:szCs w:val="24"/>
        </w:rPr>
        <w:t>（六）申报本条第（二）款资助的，须先备案后申报（备案指南另行发布）。</w:t>
      </w:r>
    </w:p>
    <w:p>
      <w:pPr>
        <w:pStyle w:val="2"/>
        <w:spacing w:line="360" w:lineRule="auto"/>
        <w:ind w:firstLine="256"/>
        <w:rPr>
          <w:rFonts w:ascii="Times New Roman" w:eastAsia="宋体"/>
          <w:spacing w:val="8"/>
          <w:szCs w:val="24"/>
        </w:rPr>
      </w:pPr>
      <w:r>
        <w:rPr>
          <w:rFonts w:hint="eastAsia" w:ascii="Times New Roman" w:eastAsia="宋体"/>
          <w:spacing w:val="8"/>
          <w:szCs w:val="24"/>
        </w:rPr>
        <w:t>（七）申报本条中公共食堂资助的，《食品经营许可证》的主体经营业态为“单位食堂”。</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zCs w:val="28"/>
        </w:rPr>
        <w:t>、</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9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54"/>
        <w:gridCol w:w="5994"/>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24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6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254"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99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1.《支持商贸业发展类—支持建设商业配套专项资助项目申报书》；</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6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54" w:type="dxa"/>
            <w:vMerge w:val="continue"/>
            <w:tcBorders>
              <w:left w:val="single" w:color="auto" w:sz="4" w:space="0"/>
              <w:right w:val="single" w:color="auto" w:sz="4" w:space="0"/>
            </w:tcBorders>
            <w:vAlign w:val="center"/>
          </w:tcPr>
          <w:p>
            <w:pPr>
              <w:ind w:firstLine="0" w:firstLineChars="0"/>
              <w:jc w:val="center"/>
              <w:rPr>
                <w:szCs w:val="28"/>
              </w:rPr>
            </w:pPr>
          </w:p>
        </w:tc>
        <w:tc>
          <w:tcPr>
            <w:tcW w:w="599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6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54" w:type="dxa"/>
            <w:vMerge w:val="continue"/>
            <w:tcBorders>
              <w:left w:val="single" w:color="auto" w:sz="4" w:space="0"/>
              <w:right w:val="single" w:color="auto" w:sz="4" w:space="0"/>
            </w:tcBorders>
            <w:vAlign w:val="center"/>
          </w:tcPr>
          <w:p>
            <w:pPr>
              <w:ind w:firstLine="0" w:firstLineChars="0"/>
              <w:jc w:val="center"/>
              <w:rPr>
                <w:szCs w:val="28"/>
              </w:rPr>
            </w:pPr>
          </w:p>
        </w:tc>
        <w:tc>
          <w:tcPr>
            <w:tcW w:w="5994"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3.法定代表人（负责人）身份证复印件和签字样本；</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6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54" w:type="dxa"/>
            <w:vMerge w:val="continue"/>
            <w:tcBorders>
              <w:left w:val="single" w:color="auto" w:sz="4" w:space="0"/>
              <w:right w:val="single" w:color="auto" w:sz="4" w:space="0"/>
            </w:tcBorders>
            <w:vAlign w:val="center"/>
          </w:tcPr>
          <w:p>
            <w:pPr>
              <w:ind w:firstLine="0" w:firstLineChars="0"/>
              <w:jc w:val="center"/>
              <w:rPr>
                <w:szCs w:val="28"/>
              </w:rPr>
            </w:pPr>
          </w:p>
        </w:tc>
        <w:tc>
          <w:tcPr>
            <w:tcW w:w="599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4.2022年度纳税证明；</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6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54" w:type="dxa"/>
            <w:vMerge w:val="continue"/>
            <w:tcBorders>
              <w:left w:val="single" w:color="auto" w:sz="4" w:space="0"/>
              <w:right w:val="single" w:color="auto" w:sz="4" w:space="0"/>
            </w:tcBorders>
            <w:vAlign w:val="center"/>
          </w:tcPr>
          <w:p>
            <w:pPr>
              <w:ind w:firstLine="0" w:firstLineChars="0"/>
              <w:jc w:val="center"/>
              <w:rPr>
                <w:szCs w:val="28"/>
              </w:rPr>
            </w:pPr>
          </w:p>
        </w:tc>
        <w:tc>
          <w:tcPr>
            <w:tcW w:w="599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1"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254"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申报本条第（一）款资助的还需同时提供</w:t>
            </w:r>
          </w:p>
        </w:tc>
        <w:tc>
          <w:tcPr>
            <w:tcW w:w="599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6.</w:t>
            </w:r>
            <w:r>
              <w:rPr>
                <w:rFonts w:hint="eastAsia"/>
                <w:szCs w:val="28"/>
              </w:rPr>
              <w:t>开业相关证明资料（开业活动现场照片、相关新闻报道截图）；租赁合同、街道等政府部门或有关单位出具的租赁凭证或场所使用证明；</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06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254"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申报本条第（二）款商业建设资助的还需同时提供</w:t>
            </w:r>
          </w:p>
        </w:tc>
        <w:tc>
          <w:tcPr>
            <w:tcW w:w="599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7</w:t>
            </w:r>
            <w:r>
              <w:rPr>
                <w:rFonts w:hint="eastAsia"/>
                <w:szCs w:val="28"/>
              </w:rPr>
              <w:t>.园区竣工验收备案文件；租赁合同、街道等政府部门或有关单位出具的租赁凭证或场所使用证明；经注册会计师行业统一监管平台备案的装修费用专项审计报告（格式参见第六部分《项目专项审计报告提纲》）、装修合同、支付凭证、发票（验原件，收复印件）；</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54" w:type="dxa"/>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申报本条第（二）款</w:t>
            </w:r>
            <w:r>
              <w:rPr>
                <w:rFonts w:hint="eastAsia"/>
                <w:szCs w:val="32"/>
              </w:rPr>
              <w:t>公共食堂建设</w:t>
            </w:r>
            <w:r>
              <w:rPr>
                <w:rFonts w:hint="eastAsia"/>
                <w:szCs w:val="28"/>
              </w:rPr>
              <w:t>资助的还需同时提供</w:t>
            </w:r>
          </w:p>
        </w:tc>
        <w:tc>
          <w:tcPr>
            <w:tcW w:w="599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8</w:t>
            </w:r>
            <w:r>
              <w:rPr>
                <w:rFonts w:hint="eastAsia"/>
                <w:szCs w:val="28"/>
              </w:rPr>
              <w:t>.</w:t>
            </w:r>
            <w:r>
              <w:rPr>
                <w:rFonts w:hint="eastAsia"/>
                <w:szCs w:val="32"/>
              </w:rPr>
              <w:t>《食品经营许可证》、</w:t>
            </w:r>
            <w:r>
              <w:rPr>
                <w:rFonts w:hint="eastAsia"/>
                <w:szCs w:val="28"/>
              </w:rPr>
              <w:t>园区竣工验收备案文件、</w:t>
            </w:r>
            <w:r>
              <w:rPr>
                <w:rFonts w:hint="eastAsia"/>
              </w:rPr>
              <w:t>区工信部门备案证明</w:t>
            </w:r>
            <w:r>
              <w:rPr>
                <w:rFonts w:hint="eastAsia"/>
                <w:szCs w:val="28"/>
              </w:rPr>
              <w:t>、经注册会计师行业统一监管平台备案的固定资产</w:t>
            </w:r>
            <w:r>
              <w:rPr>
                <w:rFonts w:hint="eastAsia"/>
              </w:rPr>
              <w:t>投资</w:t>
            </w:r>
            <w:r>
              <w:t>专项审计报告</w:t>
            </w:r>
            <w:r>
              <w:rPr>
                <w:rFonts w:hint="eastAsia"/>
                <w:szCs w:val="28"/>
              </w:rPr>
              <w:t>（格式参见第六部分《项目专项审计报告提纲》）（验原件，收复印件）</w:t>
            </w:r>
            <w:r>
              <w:rPr>
                <w:rFonts w:hint="eastAsia"/>
              </w:rPr>
              <w:t>；</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724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79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102"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9102"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rPr>
                <w:szCs w:val="28"/>
              </w:rPr>
            </w:pPr>
          </w:p>
          <w:p>
            <w:pPr>
              <w:ind w:firstLine="0" w:firstLineChars="0"/>
              <w:jc w:val="left"/>
              <w:rPr>
                <w:szCs w:val="28"/>
              </w:rPr>
            </w:pPr>
          </w:p>
          <w:p>
            <w:pPr>
              <w:ind w:firstLine="0" w:firstLineChars="0"/>
              <w:jc w:val="left"/>
              <w:rPr>
                <w:szCs w:val="28"/>
              </w:rPr>
            </w:pPr>
          </w:p>
          <w:p>
            <w:pPr>
              <w:ind w:firstLine="0" w:firstLineChars="0"/>
              <w:jc w:val="left"/>
              <w:rPr>
                <w:szCs w:val="28"/>
              </w:rPr>
            </w:pPr>
          </w:p>
          <w:p>
            <w:pPr>
              <w:ind w:firstLine="0" w:firstLineChars="0"/>
              <w:jc w:val="left"/>
              <w:rPr>
                <w:szCs w:val="28"/>
              </w:rPr>
            </w:pPr>
          </w:p>
          <w:p>
            <w:pPr>
              <w:ind w:firstLine="0" w:firstLineChars="0"/>
              <w:jc w:val="left"/>
              <w:rPr>
                <w:rFonts w:ascii="宋体" w:hAnsi="宋体" w:cs="宋体"/>
                <w:szCs w:val="24"/>
              </w:rPr>
            </w:pPr>
          </w:p>
        </w:tc>
      </w:tr>
    </w:tbl>
    <w:p>
      <w:pPr>
        <w:ind w:firstLine="480"/>
      </w:pPr>
      <w:bookmarkStart w:id="106" w:name="_Toc1462210541"/>
      <w:bookmarkStart w:id="107" w:name="_Toc854515779"/>
      <w:bookmarkStart w:id="108" w:name="_Toc1650960688"/>
      <w:bookmarkStart w:id="109" w:name="_Toc6132"/>
      <w:bookmarkStart w:id="110" w:name="_Toc1927795279"/>
      <w:bookmarkStart w:id="111" w:name="_Toc74931557"/>
      <w:r>
        <w:rPr>
          <w:rFonts w:hint="eastAsia"/>
        </w:rPr>
        <w:br w:type="page"/>
      </w:r>
    </w:p>
    <w:p>
      <w:pPr>
        <w:pStyle w:val="28"/>
        <w:spacing w:before="312" w:line="360" w:lineRule="auto"/>
        <w:outlineLvl w:val="2"/>
      </w:pPr>
      <w:bookmarkStart w:id="112" w:name="_Toc130905471"/>
      <w:bookmarkStart w:id="113" w:name="_Toc138949340"/>
      <w:r>
        <w:rPr>
          <w:rFonts w:hint="eastAsia"/>
        </w:rPr>
        <w:t>第六节 支持商业品牌发展</w:t>
      </w:r>
      <w:bookmarkEnd w:id="106"/>
      <w:bookmarkEnd w:id="107"/>
      <w:bookmarkEnd w:id="108"/>
      <w:bookmarkEnd w:id="109"/>
      <w:bookmarkEnd w:id="110"/>
      <w:bookmarkEnd w:id="111"/>
      <w:r>
        <w:rPr>
          <w:rFonts w:hint="eastAsia"/>
        </w:rPr>
        <w:t>专项资助</w:t>
      </w:r>
      <w:bookmarkEnd w:id="112"/>
      <w:bookmarkEnd w:id="113"/>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（一）支持知名品牌首店</w:t>
      </w:r>
    </w:p>
    <w:p>
      <w:pPr>
        <w:ind w:firstLine="512"/>
        <w:rPr>
          <w:spacing w:val="8"/>
          <w:szCs w:val="24"/>
        </w:rPr>
      </w:pPr>
      <w:r>
        <w:rPr>
          <w:rFonts w:hint="eastAsia"/>
          <w:spacing w:val="8"/>
          <w:szCs w:val="24"/>
        </w:rPr>
        <w:t>1.对新设立的国内外知名品牌坪山首店，给予运营机构最高50万元一次性资助。</w:t>
      </w:r>
    </w:p>
    <w:p>
      <w:pPr>
        <w:ind w:firstLine="512"/>
        <w:rPr>
          <w:spacing w:val="8"/>
          <w:szCs w:val="24"/>
        </w:rPr>
      </w:pPr>
      <w:r>
        <w:rPr>
          <w:rFonts w:hint="eastAsia"/>
          <w:spacing w:val="8"/>
          <w:szCs w:val="24"/>
        </w:rPr>
        <w:t>2.大型商业综合体每引进1家国内外知名品牌坪山首店，给予运营机构10万元奖励；每引进1家国内外知名品牌深圳首店，给予运营机构15万元奖励。单个商业综合体运营机构年度最高奖励100万元。</w:t>
      </w:r>
    </w:p>
    <w:p>
      <w:pPr>
        <w:ind w:firstLine="512"/>
        <w:rPr>
          <w:spacing w:val="8"/>
          <w:szCs w:val="24"/>
        </w:rPr>
      </w:pPr>
      <w:r>
        <w:rPr>
          <w:rFonts w:hint="eastAsia"/>
          <w:spacing w:val="8"/>
          <w:szCs w:val="24"/>
        </w:rPr>
        <w:t>3.对新设立的《米其林指南》《黑珍珠餐厅指南》榜单内的品牌餐饮坪山首店，建筑面积200平方米以上的，给予运营机构50万元一次性奖励。</w:t>
      </w:r>
    </w:p>
    <w:p>
      <w:pPr>
        <w:ind w:firstLine="512"/>
        <w:rPr>
          <w:spacing w:val="8"/>
          <w:szCs w:val="24"/>
        </w:rPr>
      </w:pPr>
      <w:r>
        <w:rPr>
          <w:rFonts w:hint="eastAsia"/>
          <w:spacing w:val="8"/>
          <w:szCs w:val="24"/>
        </w:rPr>
        <w:t>（二）支持商业品牌活动</w:t>
      </w:r>
    </w:p>
    <w:p>
      <w:pPr>
        <w:ind w:firstLine="512"/>
        <w:rPr>
          <w:spacing w:val="8"/>
          <w:szCs w:val="24"/>
        </w:rPr>
      </w:pPr>
      <w:r>
        <w:rPr>
          <w:rFonts w:hint="eastAsia"/>
          <w:spacing w:val="8"/>
          <w:szCs w:val="24"/>
        </w:rPr>
        <w:t>1.对参与市级促消费活动的企业，按市级资助金额的50%给予配套资助，单个企业最高资助50万元。</w:t>
      </w:r>
    </w:p>
    <w:p>
      <w:pPr>
        <w:ind w:firstLine="512"/>
        <w:rPr>
          <w:spacing w:val="8"/>
          <w:szCs w:val="24"/>
        </w:rPr>
      </w:pPr>
      <w:r>
        <w:rPr>
          <w:rFonts w:hint="eastAsia"/>
          <w:spacing w:val="8"/>
          <w:szCs w:val="24"/>
        </w:rPr>
        <w:t>2.对参与区级促消费活动的商业综合体，集中运营面积达1.5万平方米以上的，经区工信部门备案，按实际活动投入费用的30%给予资助，单个商业综合体运营机构年度最高资助15万元。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1.守法经营、诚实守信、有规范健全的财务会计制度</w:t>
      </w:r>
      <w:r>
        <w:rPr>
          <w:rFonts w:hint="eastAsia"/>
          <w:spacing w:val="8"/>
          <w:szCs w:val="24"/>
        </w:rPr>
        <w:t>。</w:t>
      </w:r>
    </w:p>
    <w:p>
      <w:pPr>
        <w:ind w:firstLine="512"/>
        <w:rPr>
          <w:spacing w:val="8"/>
          <w:szCs w:val="24"/>
          <w:highlight w:val="yellow"/>
        </w:rPr>
      </w:pPr>
      <w:r>
        <w:rPr>
          <w:rFonts w:hint="eastAsia"/>
          <w:spacing w:val="8"/>
          <w:szCs w:val="24"/>
        </w:rPr>
        <w:t>（二）申报本条资助的，可不受注册地、统计地、纳税地限制，可不受上年度区级财力贡献限制。</w:t>
      </w:r>
    </w:p>
    <w:p>
      <w:pPr>
        <w:pStyle w:val="9"/>
        <w:ind w:firstLine="512"/>
        <w:rPr>
          <w:rFonts w:ascii="Times New Roman" w:hAnsi="Times New Roman"/>
          <w:spacing w:val="8"/>
          <w:sz w:val="24"/>
          <w:szCs w:val="24"/>
        </w:rPr>
      </w:pPr>
      <w:r>
        <w:rPr>
          <w:rFonts w:hint="eastAsia" w:ascii="Times New Roman" w:hAnsi="Times New Roman"/>
          <w:spacing w:val="8"/>
          <w:sz w:val="24"/>
          <w:szCs w:val="24"/>
        </w:rPr>
        <w:t>（三）申报本条第（一）款第1项</w:t>
      </w:r>
      <w:r>
        <w:rPr>
          <w:rFonts w:hint="eastAsia"/>
          <w:spacing w:val="8"/>
          <w:sz w:val="24"/>
          <w:szCs w:val="24"/>
        </w:rPr>
        <w:t>资助</w:t>
      </w:r>
      <w:r>
        <w:rPr>
          <w:rFonts w:hint="eastAsia" w:ascii="Times New Roman" w:hAnsi="Times New Roman"/>
          <w:spacing w:val="8"/>
          <w:sz w:val="24"/>
          <w:szCs w:val="24"/>
        </w:rPr>
        <w:t>的商业综合体，以企业所得税年度纳税申报表所属国民经济行业分类（行业代码前两位为52）为准；</w:t>
      </w:r>
    </w:p>
    <w:p>
      <w:pPr>
        <w:pStyle w:val="9"/>
        <w:ind w:firstLine="512"/>
        <w:rPr>
          <w:rFonts w:ascii="Times New Roman" w:hAnsi="Times New Roman"/>
          <w:spacing w:val="8"/>
          <w:sz w:val="24"/>
          <w:szCs w:val="24"/>
        </w:rPr>
      </w:pPr>
      <w:r>
        <w:rPr>
          <w:rFonts w:hint="eastAsia" w:ascii="Times New Roman" w:hAnsi="Times New Roman"/>
          <w:spacing w:val="8"/>
          <w:sz w:val="24"/>
          <w:szCs w:val="24"/>
        </w:rPr>
        <w:t>（四）申报本条第（一）款第2项</w:t>
      </w:r>
      <w:r>
        <w:rPr>
          <w:rFonts w:hint="eastAsia"/>
          <w:spacing w:val="8"/>
          <w:sz w:val="24"/>
          <w:szCs w:val="24"/>
        </w:rPr>
        <w:t>资助</w:t>
      </w:r>
      <w:r>
        <w:rPr>
          <w:rFonts w:hint="eastAsia" w:ascii="Times New Roman" w:hAnsi="Times New Roman"/>
          <w:spacing w:val="8"/>
          <w:sz w:val="24"/>
          <w:szCs w:val="24"/>
        </w:rPr>
        <w:t>的商业综合体，以企业所得税年度纳税申报表所属国民经济行业分类（行业代码前三位为521）为准；</w:t>
      </w:r>
    </w:p>
    <w:p>
      <w:pPr>
        <w:pStyle w:val="9"/>
        <w:ind w:firstLine="512"/>
        <w:rPr>
          <w:rFonts w:ascii="Times New Roman" w:hAnsi="Times New Roman"/>
          <w:spacing w:val="8"/>
          <w:sz w:val="24"/>
          <w:szCs w:val="24"/>
        </w:rPr>
      </w:pPr>
      <w:r>
        <w:rPr>
          <w:rFonts w:hint="eastAsia" w:ascii="Times New Roman" w:hAnsi="Times New Roman"/>
          <w:spacing w:val="8"/>
          <w:sz w:val="24"/>
          <w:szCs w:val="24"/>
        </w:rPr>
        <w:t>（五）申报本条第（一）款第3项</w:t>
      </w:r>
      <w:r>
        <w:rPr>
          <w:rFonts w:hint="eastAsia"/>
          <w:spacing w:val="8"/>
          <w:sz w:val="24"/>
          <w:szCs w:val="24"/>
        </w:rPr>
        <w:t>资助</w:t>
      </w:r>
      <w:r>
        <w:rPr>
          <w:rFonts w:hint="eastAsia" w:ascii="Times New Roman" w:hAnsi="Times New Roman"/>
          <w:spacing w:val="8"/>
          <w:sz w:val="24"/>
          <w:szCs w:val="24"/>
        </w:rPr>
        <w:t>的商业综合体，以企业所得税年度纳税申报表所属国民经济行业分类（行业代码前两位为62）为准；</w:t>
      </w:r>
    </w:p>
    <w:p>
      <w:pPr>
        <w:ind w:firstLine="512"/>
        <w:rPr>
          <w:spacing w:val="8"/>
          <w:szCs w:val="24"/>
        </w:rPr>
      </w:pPr>
      <w:r>
        <w:rPr>
          <w:rFonts w:hint="eastAsia"/>
          <w:spacing w:val="8"/>
          <w:szCs w:val="24"/>
        </w:rPr>
        <w:t>（六）满足第（一）款资助条件的国际知名连锁品牌，指在全球知名消费城市（纽约、洛杉矶、伦敦、巴黎、米兰、迪拜、日内瓦、苏黎世、都柏林、哥本哈根、悉尼、东京、</w:t>
      </w:r>
      <w:r>
        <w:rPr>
          <w:rFonts w:hint="eastAsia"/>
          <w:spacing w:val="8"/>
          <w:szCs w:val="24"/>
          <w:lang w:eastAsia="zh-CN"/>
        </w:rPr>
        <w:t>中国</w:t>
      </w:r>
      <w:r>
        <w:rPr>
          <w:rFonts w:hint="eastAsia"/>
          <w:spacing w:val="8"/>
          <w:szCs w:val="24"/>
        </w:rPr>
        <w:t>香港、新加坡、首尔）开设3家（含）以上门店，并获得国家级媒体平台或《VOGUE》《ELLE》《时尚芭莎》《时尚COSMO》《GQ》《T</w:t>
      </w:r>
      <w:r>
        <w:rPr>
          <w:spacing w:val="8"/>
          <w:szCs w:val="24"/>
        </w:rPr>
        <w:t xml:space="preserve"> </w:t>
      </w:r>
      <w:r>
        <w:rPr>
          <w:rFonts w:hint="eastAsia"/>
          <w:spacing w:val="8"/>
          <w:szCs w:val="24"/>
        </w:rPr>
        <w:t>Magazine》等知名时尚媒体对该品牌正面宣传报道3次（含）以上的；国内知名连锁品牌指在国内副省级及以上城市开设5家（含）以上门店，并获得国家级媒体平台对该品牌正面宣传报道5次（含）以上的。</w:t>
      </w:r>
    </w:p>
    <w:p>
      <w:pPr>
        <w:ind w:firstLine="512"/>
        <w:rPr>
          <w:spacing w:val="8"/>
          <w:szCs w:val="24"/>
        </w:rPr>
      </w:pPr>
      <w:r>
        <w:rPr>
          <w:rFonts w:hint="eastAsia"/>
          <w:spacing w:val="8"/>
          <w:szCs w:val="24"/>
        </w:rPr>
        <w:t>（七）有下列情况之一的，本条政策不予资助：</w:t>
      </w:r>
    </w:p>
    <w:p>
      <w:pPr>
        <w:ind w:firstLine="512"/>
        <w:rPr>
          <w:spacing w:val="8"/>
          <w:szCs w:val="24"/>
        </w:rPr>
      </w:pPr>
      <w:r>
        <w:rPr>
          <w:spacing w:val="8"/>
          <w:szCs w:val="24"/>
        </w:rPr>
        <w:t>1</w:t>
      </w:r>
      <w:r>
        <w:rPr>
          <w:rFonts w:hint="eastAsia"/>
          <w:spacing w:val="8"/>
          <w:szCs w:val="24"/>
        </w:rPr>
        <w:t>.被司法机关认定存在行贿行为，且被列入坪山区不良经营主体名单并在影响期内的；</w:t>
      </w:r>
    </w:p>
    <w:p>
      <w:pPr>
        <w:ind w:firstLine="512"/>
        <w:rPr>
          <w:spacing w:val="8"/>
          <w:szCs w:val="24"/>
        </w:rPr>
      </w:pPr>
      <w:r>
        <w:rPr>
          <w:spacing w:val="8"/>
          <w:szCs w:val="24"/>
        </w:rPr>
        <w:t>2</w:t>
      </w:r>
      <w:r>
        <w:rPr>
          <w:rFonts w:hint="eastAsia"/>
          <w:spacing w:val="8"/>
          <w:szCs w:val="24"/>
        </w:rPr>
        <w:t>.在申报专项资金过程中弄虚作假，虚报、谎报企业信息，或拒绝配合专项资金绩效评价和监督检查的；</w:t>
      </w:r>
    </w:p>
    <w:p>
      <w:pPr>
        <w:ind w:firstLine="512"/>
        <w:rPr>
          <w:spacing w:val="8"/>
          <w:szCs w:val="24"/>
        </w:rPr>
      </w:pPr>
      <w:r>
        <w:rPr>
          <w:spacing w:val="8"/>
          <w:szCs w:val="24"/>
        </w:rPr>
        <w:t>3</w:t>
      </w:r>
      <w:r>
        <w:rPr>
          <w:rFonts w:hint="eastAsia"/>
          <w:spacing w:val="8"/>
          <w:szCs w:val="24"/>
        </w:rPr>
        <w:t>.同一事项已获得区级财政资金资助的；</w:t>
      </w:r>
    </w:p>
    <w:p>
      <w:pPr>
        <w:ind w:firstLine="512"/>
        <w:rPr>
          <w:spacing w:val="8"/>
          <w:szCs w:val="24"/>
        </w:rPr>
      </w:pPr>
      <w:r>
        <w:rPr>
          <w:spacing w:val="8"/>
          <w:szCs w:val="24"/>
        </w:rPr>
        <w:t>4</w:t>
      </w:r>
      <w:r>
        <w:rPr>
          <w:rFonts w:hint="eastAsia"/>
          <w:spacing w:val="8"/>
          <w:szCs w:val="24"/>
        </w:rPr>
        <w:t>.被列入全国范围内实施的严重失信主体名单；</w:t>
      </w:r>
    </w:p>
    <w:p>
      <w:pPr>
        <w:ind w:firstLine="512"/>
        <w:rPr>
          <w:spacing w:val="8"/>
          <w:szCs w:val="24"/>
        </w:rPr>
      </w:pPr>
      <w:r>
        <w:rPr>
          <w:spacing w:val="8"/>
          <w:szCs w:val="24"/>
        </w:rPr>
        <w:t>5</w:t>
      </w:r>
      <w:r>
        <w:rPr>
          <w:rFonts w:hint="eastAsia"/>
          <w:spacing w:val="8"/>
          <w:szCs w:val="24"/>
        </w:rPr>
        <w:t>.法律、法规规定的其他情形。</w:t>
      </w:r>
    </w:p>
    <w:p>
      <w:pPr>
        <w:ind w:firstLine="512"/>
        <w:rPr>
          <w:spacing w:val="8"/>
          <w:szCs w:val="24"/>
        </w:rPr>
      </w:pPr>
      <w:r>
        <w:rPr>
          <w:rFonts w:hint="eastAsia"/>
          <w:spacing w:val="8"/>
          <w:szCs w:val="24"/>
        </w:rPr>
        <w:t>（八）申报本条第（二）款第2项资助的，须先备案后申报（备案指南另行发布）；</w:t>
      </w:r>
    </w:p>
    <w:p>
      <w:pPr>
        <w:ind w:firstLine="512"/>
        <w:rPr>
          <w:spacing w:val="8"/>
          <w:szCs w:val="24"/>
        </w:rPr>
      </w:pPr>
      <w:r>
        <w:rPr>
          <w:rFonts w:hint="eastAsia"/>
          <w:spacing w:val="8"/>
          <w:szCs w:val="24"/>
        </w:rPr>
        <w:t>（九）本条第（二）款第1项和第2项不能同时申报。</w:t>
      </w:r>
    </w:p>
    <w:p>
      <w:pPr>
        <w:ind w:firstLine="512"/>
        <w:rPr>
          <w:spacing w:val="8"/>
          <w:szCs w:val="24"/>
        </w:rPr>
      </w:pPr>
      <w:r>
        <w:rPr>
          <w:rFonts w:hint="eastAsia"/>
          <w:spacing w:val="8"/>
          <w:szCs w:val="24"/>
        </w:rPr>
        <w:t>（十）申报本条第（二）款第1项资助的，以2022年度到账的市级资助资金为基数给予配套资助。</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bCs/>
          <w:spacing w:val="8"/>
          <w:szCs w:val="24"/>
        </w:rPr>
      </w:pPr>
      <w:r>
        <w:rPr>
          <w:rFonts w:hint="eastAsia"/>
          <w:b/>
          <w:bCs/>
          <w:spacing w:val="8"/>
          <w:szCs w:val="24"/>
        </w:rPr>
        <w:t>所有纸质申报材料一式两份，A4纸双面打印，编制目录和页码，胶装成册，每页需加盖单位公章，并加盖骑缝章。</w:t>
      </w:r>
    </w:p>
    <w:p>
      <w:pPr>
        <w:pStyle w:val="9"/>
        <w:ind w:firstLine="360"/>
      </w:pP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64"/>
        <w:gridCol w:w="5670"/>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64"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67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1.《支持商贸业发展类—支持商业品牌发展专项资助项目申报书》；</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4" w:type="dxa"/>
            <w:vMerge w:val="continue"/>
            <w:tcBorders>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4" w:type="dxa"/>
            <w:vMerge w:val="continue"/>
            <w:tcBorders>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3.法定代表人（负责人）身份证复印件和签字样本；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4" w:type="dxa"/>
            <w:vMerge w:val="continue"/>
            <w:tcBorders>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4.年度累计获区经济发展专项资金资助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64"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申报本条第（一）款第1、2项资助的还需同时提供</w:t>
            </w:r>
          </w:p>
        </w:tc>
        <w:tc>
          <w:tcPr>
            <w:tcW w:w="567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w:t>
            </w:r>
            <w:r>
              <w:rPr>
                <w:szCs w:val="28"/>
              </w:rPr>
              <w:t>.</w:t>
            </w:r>
            <w:r>
              <w:rPr>
                <w:rFonts w:hint="eastAsia"/>
                <w:szCs w:val="28"/>
              </w:rPr>
              <w:t>申报国际知名品牌首店的，需提供相关证明材料：在各地已开业的3家以上（含）门店资料，包括：门店列表（应包括门店所在城市、门店地址、开店时间、品牌、联系人等）、门店照片（含门头照、店内照）、门店物业租赁协议或自有房产证明；3份（含）以上媒体宣传材料，包括纸质媒体封面和宣传页面或网站截图和链接；</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atLeast"/>
          <w:jc w:val="center"/>
        </w:trPr>
        <w:tc>
          <w:tcPr>
            <w:tcW w:w="988" w:type="dxa"/>
            <w:vMerge w:val="continue"/>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p>
        </w:tc>
        <w:tc>
          <w:tcPr>
            <w:tcW w:w="1464" w:type="dxa"/>
            <w:vMerge w:val="continue"/>
            <w:tcBorders>
              <w:top w:val="single" w:color="auto" w:sz="4" w:space="0"/>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6</w:t>
            </w:r>
            <w:r>
              <w:rPr>
                <w:szCs w:val="28"/>
              </w:rPr>
              <w:t>.</w:t>
            </w:r>
            <w:r>
              <w:rPr>
                <w:rFonts w:hint="eastAsia"/>
                <w:szCs w:val="28"/>
              </w:rPr>
              <w:t>申报国内知名品牌首店的，需提供相关证明材料：在各地已开业的</w:t>
            </w:r>
            <w:r>
              <w:rPr>
                <w:szCs w:val="28"/>
              </w:rPr>
              <w:t>5</w:t>
            </w:r>
            <w:r>
              <w:rPr>
                <w:rFonts w:hint="eastAsia"/>
                <w:szCs w:val="28"/>
              </w:rPr>
              <w:t>家以上（含）门店资料，包括：门店列表（应包括门店所在城市、门店地址、开店时间、品牌、联系人等）、门店照片（含门头照、店内照）、门店物业租赁协议或自有房产证明；</w:t>
            </w:r>
            <w:r>
              <w:rPr>
                <w:szCs w:val="28"/>
              </w:rPr>
              <w:t>5</w:t>
            </w:r>
            <w:r>
              <w:rPr>
                <w:rFonts w:hint="eastAsia"/>
                <w:szCs w:val="28"/>
              </w:rPr>
              <w:t>份（含）以上媒体宣传材料，包括纸质媒体封面和宣传页面或网站截图和链接；</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464"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申报本条第（一）款第3项资助的还需同时提供</w:t>
            </w:r>
          </w:p>
        </w:tc>
        <w:tc>
          <w:tcPr>
            <w:tcW w:w="5670"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zCs w:val="28"/>
              </w:rPr>
            </w:pPr>
            <w:r>
              <w:rPr>
                <w:rFonts w:hint="eastAsia"/>
                <w:spacing w:val="8"/>
                <w:szCs w:val="24"/>
              </w:rPr>
              <w:t>7.租赁合同、街道等政府部门或有关单位出具的租赁凭证或场所使用证明；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4" w:type="dxa"/>
            <w:vMerge w:val="continue"/>
            <w:tcBorders>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pacing w:val="8"/>
                <w:szCs w:val="24"/>
              </w:rPr>
            </w:pPr>
            <w:r>
              <w:rPr>
                <w:rFonts w:hint="eastAsia"/>
                <w:szCs w:val="28"/>
              </w:rPr>
              <w:t>8</w:t>
            </w:r>
            <w:r>
              <w:rPr>
                <w:szCs w:val="28"/>
              </w:rPr>
              <w:t>.相关榜单及企业在榜单中的情况</w:t>
            </w:r>
            <w:r>
              <w:rPr>
                <w:rFonts w:hint="eastAsia"/>
                <w:szCs w:val="28"/>
              </w:rPr>
              <w:t>证明</w:t>
            </w:r>
            <w:r>
              <w:rPr>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1464"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申报本条第（二）款资助第1项的还需同时提供</w:t>
            </w:r>
          </w:p>
        </w:tc>
        <w:tc>
          <w:tcPr>
            <w:tcW w:w="5670" w:type="dxa"/>
            <w:tcBorders>
              <w:top w:val="single" w:color="auto" w:sz="4" w:space="0"/>
              <w:left w:val="single" w:color="auto" w:sz="4" w:space="0"/>
              <w:bottom w:val="single" w:color="auto" w:sz="4" w:space="0"/>
              <w:right w:val="single" w:color="auto" w:sz="4" w:space="0"/>
            </w:tcBorders>
            <w:vAlign w:val="center"/>
          </w:tcPr>
          <w:p>
            <w:pPr>
              <w:ind w:left="288" w:hanging="288" w:hangingChars="120"/>
              <w:rPr>
                <w:szCs w:val="28"/>
              </w:rPr>
            </w:pPr>
            <w:r>
              <w:rPr>
                <w:rFonts w:hint="eastAsia"/>
                <w:szCs w:val="28"/>
              </w:rPr>
              <w:t>9</w:t>
            </w:r>
            <w:r>
              <w:rPr>
                <w:szCs w:val="28"/>
              </w:rPr>
              <w:t>.</w:t>
            </w:r>
            <w:r>
              <w:rPr>
                <w:rFonts w:hint="eastAsia"/>
                <w:spacing w:val="8"/>
                <w:szCs w:val="24"/>
              </w:rPr>
              <w:t>申报市级促消费活动资助的，需提供</w:t>
            </w:r>
            <w:r>
              <w:rPr>
                <w:rFonts w:hint="eastAsia"/>
                <w:szCs w:val="28"/>
              </w:rPr>
              <w:t>市级资助相关证明文件、收款凭证（验原件，收复印件）；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988"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（五）</w:t>
            </w:r>
          </w:p>
        </w:tc>
        <w:tc>
          <w:tcPr>
            <w:tcW w:w="1464"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申报本条第（二）款资助第</w:t>
            </w:r>
            <w:r>
              <w:rPr>
                <w:szCs w:val="28"/>
              </w:rPr>
              <w:t>2</w:t>
            </w:r>
            <w:r>
              <w:rPr>
                <w:rFonts w:hint="eastAsia"/>
                <w:szCs w:val="28"/>
              </w:rPr>
              <w:t>项的还需同时提供</w:t>
            </w:r>
          </w:p>
        </w:tc>
        <w:tc>
          <w:tcPr>
            <w:tcW w:w="5670"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10.申报区级促消费活动资助的，提供与活动相关的费用支出明细表、合同、发票、支付凭证等材料（验原件，收复印件）；区工信部门备案证明；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（六）</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s="宋体"/>
                <w:szCs w:val="24"/>
              </w:rPr>
            </w:pPr>
          </w:p>
          <w:p>
            <w:pPr>
              <w:pStyle w:val="13"/>
              <w:ind w:firstLine="480"/>
            </w:pPr>
          </w:p>
          <w:p>
            <w:pPr>
              <w:ind w:firstLine="0" w:firstLineChars="0"/>
              <w:rPr>
                <w:rFonts w:ascii="宋体" w:hAnsi="宋体" w:cs="宋体"/>
                <w:szCs w:val="24"/>
              </w:rPr>
            </w:pPr>
          </w:p>
          <w:p>
            <w:pPr>
              <w:pStyle w:val="2"/>
              <w:spacing w:line="360" w:lineRule="auto"/>
              <w:ind w:firstLine="240"/>
            </w:pPr>
          </w:p>
          <w:p>
            <w:pPr>
              <w:ind w:firstLine="0" w:firstLineChars="0"/>
              <w:jc w:val="left"/>
              <w:rPr>
                <w:rFonts w:ascii="宋体" w:hAnsi="宋体" w:cs="宋体"/>
                <w:szCs w:val="24"/>
              </w:rPr>
            </w:pPr>
          </w:p>
        </w:tc>
      </w:tr>
    </w:tbl>
    <w:p>
      <w:pPr>
        <w:ind w:firstLine="560"/>
        <w:rPr>
          <w:rFonts w:ascii="黑体" w:hAnsi="黑体" w:eastAsia="黑体" w:cs="黑体"/>
          <w:sz w:val="28"/>
          <w:szCs w:val="28"/>
        </w:rPr>
      </w:pPr>
      <w:bookmarkStart w:id="114" w:name="_Toc749861269"/>
      <w:bookmarkStart w:id="115" w:name="_Toc677898664"/>
      <w:bookmarkStart w:id="116" w:name="_Toc472514480"/>
      <w:bookmarkStart w:id="117" w:name="_Toc22840"/>
      <w:bookmarkStart w:id="118" w:name="_Toc1284582186"/>
      <w:bookmarkStart w:id="119" w:name="_Toc74931558"/>
      <w:r>
        <w:rPr>
          <w:rFonts w:hint="eastAsia" w:ascii="黑体" w:hAnsi="黑体" w:eastAsia="黑体" w:cs="黑体"/>
          <w:sz w:val="28"/>
          <w:szCs w:val="28"/>
        </w:rPr>
        <w:br w:type="page"/>
      </w:r>
    </w:p>
    <w:p>
      <w:pPr>
        <w:pStyle w:val="5"/>
        <w:spacing w:line="360" w:lineRule="auto"/>
        <w:ind w:firstLine="0" w:firstLineChars="0"/>
        <w:jc w:val="center"/>
        <w:rPr>
          <w:rFonts w:ascii="黑体" w:hAnsi="黑体" w:eastAsia="黑体" w:cs="黑体"/>
          <w:bCs w:val="0"/>
          <w:sz w:val="28"/>
          <w:szCs w:val="28"/>
        </w:rPr>
      </w:pPr>
      <w:bookmarkStart w:id="120" w:name="_Toc138949341"/>
      <w:bookmarkStart w:id="121" w:name="_Toc130905472"/>
      <w:r>
        <w:rPr>
          <w:rFonts w:hint="eastAsia" w:ascii="黑体" w:hAnsi="黑体" w:eastAsia="黑体" w:cs="黑体"/>
          <w:bCs w:val="0"/>
          <w:sz w:val="28"/>
          <w:szCs w:val="28"/>
        </w:rPr>
        <w:t>第三章 支持营利性服务业发展</w:t>
      </w:r>
      <w:bookmarkEnd w:id="114"/>
      <w:bookmarkEnd w:id="115"/>
      <w:bookmarkEnd w:id="116"/>
      <w:bookmarkEnd w:id="117"/>
      <w:bookmarkEnd w:id="118"/>
      <w:bookmarkEnd w:id="119"/>
      <w:bookmarkEnd w:id="120"/>
      <w:bookmarkEnd w:id="121"/>
    </w:p>
    <w:p>
      <w:pPr>
        <w:pStyle w:val="28"/>
        <w:spacing w:before="312" w:line="360" w:lineRule="auto"/>
        <w:outlineLvl w:val="2"/>
        <w:rPr>
          <w:bCs/>
        </w:rPr>
      </w:pPr>
      <w:bookmarkStart w:id="122" w:name="_Toc1269"/>
      <w:bookmarkStart w:id="123" w:name="_Toc356023333"/>
      <w:bookmarkStart w:id="124" w:name="_Toc74931559"/>
      <w:bookmarkStart w:id="125" w:name="_Toc1241511665"/>
      <w:bookmarkStart w:id="126" w:name="_Toc995444933"/>
      <w:bookmarkStart w:id="127" w:name="_Toc1676241420"/>
      <w:bookmarkStart w:id="128" w:name="_Toc138949342"/>
      <w:bookmarkStart w:id="129" w:name="_Toc130905473"/>
      <w:r>
        <w:rPr>
          <w:rFonts w:hint="eastAsia"/>
        </w:rPr>
        <w:t>第七节 支持营利性服务业集聚</w:t>
      </w:r>
      <w:bookmarkEnd w:id="122"/>
      <w:bookmarkEnd w:id="123"/>
      <w:bookmarkEnd w:id="124"/>
      <w:bookmarkEnd w:id="125"/>
      <w:bookmarkEnd w:id="126"/>
      <w:bookmarkEnd w:id="127"/>
      <w:r>
        <w:rPr>
          <w:rFonts w:hint="eastAsia"/>
        </w:rPr>
        <w:t>发展专项资助</w:t>
      </w:r>
      <w:bookmarkEnd w:id="128"/>
      <w:bookmarkEnd w:id="129"/>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（一）支持营利性服务业企业落户</w:t>
      </w:r>
    </w:p>
    <w:p>
      <w:pPr>
        <w:ind w:firstLine="512"/>
        <w:rPr>
          <w:spacing w:val="8"/>
          <w:szCs w:val="24"/>
        </w:rPr>
      </w:pPr>
      <w:r>
        <w:rPr>
          <w:rFonts w:hint="eastAsia"/>
          <w:spacing w:val="8"/>
          <w:szCs w:val="24"/>
        </w:rPr>
        <w:t>1.对新设立或新迁入的</w:t>
      </w:r>
      <w:bookmarkStart w:id="130" w:name="_Hlk119921894"/>
      <w:r>
        <w:rPr>
          <w:rFonts w:hint="eastAsia"/>
          <w:spacing w:val="8"/>
          <w:szCs w:val="24"/>
        </w:rPr>
        <w:t>软件和信息服务业、科学研究与技术服务业企业</w:t>
      </w:r>
      <w:bookmarkEnd w:id="130"/>
      <w:r>
        <w:rPr>
          <w:rFonts w:hint="eastAsia"/>
          <w:spacing w:val="8"/>
          <w:szCs w:val="24"/>
        </w:rPr>
        <w:t>，落户当年或第一个会计年度的营业收入3000万元以上，且纳入坪山区“规上”企业库的，按营业收入的1%，给予最高300万元一次性奖励。</w:t>
      </w:r>
    </w:p>
    <w:p>
      <w:pPr>
        <w:ind w:firstLine="512"/>
        <w:rPr>
          <w:spacing w:val="8"/>
          <w:szCs w:val="24"/>
        </w:rPr>
      </w:pPr>
      <w:r>
        <w:rPr>
          <w:rFonts w:hint="eastAsia"/>
          <w:spacing w:val="8"/>
          <w:szCs w:val="24"/>
        </w:rPr>
        <w:t>2.对新设立或新迁入的租赁和商务服务业、居民服务、修理和其他服务业企业，落户当年或第一个会计年度的营业收入3000万元以上，且纳入坪山区“规上”企业库的，按营业收入的1%，给予最高100万元一次性奖励。</w:t>
      </w:r>
    </w:p>
    <w:p>
      <w:pPr>
        <w:ind w:firstLine="512"/>
        <w:rPr>
          <w:spacing w:val="8"/>
          <w:szCs w:val="24"/>
        </w:rPr>
      </w:pPr>
      <w:r>
        <w:rPr>
          <w:rFonts w:hint="eastAsia"/>
          <w:spacing w:val="8"/>
          <w:szCs w:val="24"/>
        </w:rPr>
        <w:t>（二）支持营利性服务业企业租赁办公用房。对符合第（一）款条件的软件和信息服务业、科学研究与技术服务业、租赁和商务服务业企业，在坪山区租赁物业作为自用办公用房的，按实际租金且不超过60元/平方米/月的标准，给予一年租金资助，单个企业最高资助100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rPr>
      </w:pPr>
      <w:r>
        <w:rPr>
          <w:rFonts w:hint="eastAsia"/>
          <w:spacing w:val="8"/>
          <w:szCs w:val="24"/>
        </w:rPr>
        <w:t>（二）申报本条第（一）款第1项资助的企业，以企业所得税年度纳税申报表所属国民经济行业分类（行业代码前两位为6</w:t>
      </w:r>
      <w:r>
        <w:rPr>
          <w:spacing w:val="8"/>
          <w:szCs w:val="24"/>
        </w:rPr>
        <w:t>4</w:t>
      </w:r>
      <w:r>
        <w:rPr>
          <w:rFonts w:hint="eastAsia"/>
          <w:spacing w:val="8"/>
          <w:szCs w:val="24"/>
        </w:rPr>
        <w:t>、65、73、7</w:t>
      </w:r>
      <w:r>
        <w:rPr>
          <w:spacing w:val="8"/>
          <w:szCs w:val="24"/>
        </w:rPr>
        <w:t>4</w:t>
      </w:r>
      <w:r>
        <w:rPr>
          <w:rFonts w:hint="eastAsia"/>
          <w:spacing w:val="8"/>
          <w:szCs w:val="24"/>
        </w:rPr>
        <w:t>、7</w:t>
      </w:r>
      <w:r>
        <w:rPr>
          <w:spacing w:val="8"/>
          <w:szCs w:val="24"/>
        </w:rPr>
        <w:t>5</w:t>
      </w:r>
      <w:r>
        <w:rPr>
          <w:rFonts w:hint="eastAsia"/>
          <w:spacing w:val="8"/>
          <w:szCs w:val="24"/>
        </w:rPr>
        <w:t>）为准；</w:t>
      </w:r>
    </w:p>
    <w:p>
      <w:pPr>
        <w:ind w:firstLine="512"/>
        <w:rPr>
          <w:spacing w:val="8"/>
          <w:szCs w:val="24"/>
        </w:rPr>
      </w:pPr>
      <w:r>
        <w:rPr>
          <w:rFonts w:hint="eastAsia"/>
          <w:spacing w:val="8"/>
          <w:szCs w:val="24"/>
        </w:rPr>
        <w:t>（三）申报本条第（一）款第2项资助的企业，以企业所得税年度纳税申报表所属国民经济行业分类（行业代码前两位为7</w:t>
      </w:r>
      <w:r>
        <w:rPr>
          <w:spacing w:val="8"/>
          <w:szCs w:val="24"/>
        </w:rPr>
        <w:t>1</w:t>
      </w:r>
      <w:r>
        <w:rPr>
          <w:rFonts w:hint="eastAsia"/>
          <w:spacing w:val="8"/>
          <w:szCs w:val="24"/>
        </w:rPr>
        <w:t>、7</w:t>
      </w:r>
      <w:r>
        <w:rPr>
          <w:spacing w:val="8"/>
          <w:szCs w:val="24"/>
        </w:rPr>
        <w:t>2</w:t>
      </w:r>
      <w:r>
        <w:rPr>
          <w:rFonts w:hint="eastAsia"/>
          <w:spacing w:val="8"/>
          <w:szCs w:val="24"/>
        </w:rPr>
        <w:t>、8</w:t>
      </w:r>
      <w:r>
        <w:rPr>
          <w:spacing w:val="8"/>
          <w:szCs w:val="24"/>
        </w:rPr>
        <w:t>0</w:t>
      </w:r>
      <w:r>
        <w:rPr>
          <w:rFonts w:hint="eastAsia"/>
          <w:spacing w:val="8"/>
          <w:szCs w:val="24"/>
        </w:rPr>
        <w:t>、8</w:t>
      </w:r>
      <w:r>
        <w:rPr>
          <w:spacing w:val="8"/>
          <w:szCs w:val="24"/>
        </w:rPr>
        <w:t>1</w:t>
      </w:r>
      <w:r>
        <w:rPr>
          <w:rFonts w:hint="eastAsia"/>
          <w:spacing w:val="8"/>
          <w:szCs w:val="24"/>
        </w:rPr>
        <w:t>、8</w:t>
      </w:r>
      <w:r>
        <w:rPr>
          <w:spacing w:val="8"/>
          <w:szCs w:val="24"/>
        </w:rPr>
        <w:t>2</w:t>
      </w:r>
      <w:r>
        <w:rPr>
          <w:rFonts w:hint="eastAsia"/>
          <w:spacing w:val="8"/>
          <w:szCs w:val="24"/>
        </w:rPr>
        <w:t>）为准；</w:t>
      </w:r>
    </w:p>
    <w:p>
      <w:pPr>
        <w:ind w:firstLine="512"/>
        <w:rPr>
          <w:spacing w:val="8"/>
          <w:szCs w:val="24"/>
        </w:rPr>
      </w:pPr>
      <w:r>
        <w:rPr>
          <w:rFonts w:hint="eastAsia"/>
          <w:spacing w:val="8"/>
          <w:szCs w:val="24"/>
        </w:rPr>
        <w:t>（四）申报本条第（二）款资助的企业，以企业所得税年度纳税申报表所属国民经济行业分类（行业代码前两位为6</w:t>
      </w:r>
      <w:r>
        <w:rPr>
          <w:spacing w:val="8"/>
          <w:szCs w:val="24"/>
        </w:rPr>
        <w:t>4</w:t>
      </w:r>
      <w:r>
        <w:rPr>
          <w:rFonts w:hint="eastAsia"/>
          <w:spacing w:val="8"/>
          <w:szCs w:val="24"/>
        </w:rPr>
        <w:t>、65、7</w:t>
      </w:r>
      <w:r>
        <w:rPr>
          <w:spacing w:val="8"/>
          <w:szCs w:val="24"/>
        </w:rPr>
        <w:t>1</w:t>
      </w:r>
      <w:r>
        <w:rPr>
          <w:rFonts w:hint="eastAsia"/>
          <w:spacing w:val="8"/>
          <w:szCs w:val="24"/>
        </w:rPr>
        <w:t>、7</w:t>
      </w:r>
      <w:r>
        <w:rPr>
          <w:spacing w:val="8"/>
          <w:szCs w:val="24"/>
        </w:rPr>
        <w:t>2</w:t>
      </w:r>
      <w:r>
        <w:rPr>
          <w:rFonts w:hint="eastAsia"/>
          <w:spacing w:val="8"/>
          <w:szCs w:val="24"/>
        </w:rPr>
        <w:t>、73、7</w:t>
      </w:r>
      <w:r>
        <w:rPr>
          <w:spacing w:val="8"/>
          <w:szCs w:val="24"/>
        </w:rPr>
        <w:t>4</w:t>
      </w:r>
      <w:r>
        <w:rPr>
          <w:rFonts w:hint="eastAsia"/>
          <w:spacing w:val="8"/>
          <w:szCs w:val="24"/>
        </w:rPr>
        <w:t>、7</w:t>
      </w:r>
      <w:r>
        <w:rPr>
          <w:spacing w:val="8"/>
          <w:szCs w:val="24"/>
        </w:rPr>
        <w:t>5</w:t>
      </w:r>
      <w:r>
        <w:rPr>
          <w:rFonts w:hint="eastAsia"/>
          <w:spacing w:val="8"/>
          <w:szCs w:val="24"/>
        </w:rPr>
        <w:t>）为准；</w:t>
      </w:r>
    </w:p>
    <w:p>
      <w:pPr>
        <w:ind w:firstLine="512"/>
        <w:rPr>
          <w:spacing w:val="8"/>
          <w:szCs w:val="24"/>
        </w:rPr>
      </w:pPr>
      <w:r>
        <w:rPr>
          <w:rFonts w:hint="eastAsia"/>
          <w:spacing w:val="8"/>
          <w:szCs w:val="24"/>
        </w:rPr>
        <w:t>（五）申报本条资助的营利性服务企业不包括数据中心企业，也不包括区属国资企业、社区股份公司。</w:t>
      </w:r>
    </w:p>
    <w:p>
      <w:pPr>
        <w:ind w:firstLine="512"/>
        <w:rPr>
          <w:spacing w:val="8"/>
          <w:szCs w:val="24"/>
        </w:rPr>
      </w:pPr>
      <w:r>
        <w:rPr>
          <w:rFonts w:hint="eastAsia"/>
          <w:spacing w:val="8"/>
          <w:szCs w:val="24"/>
        </w:rPr>
        <w:t>（六）申报本条资助的，可不受上年度区级财力贡献限制。</w:t>
      </w:r>
    </w:p>
    <w:p>
      <w:pPr>
        <w:ind w:firstLine="512"/>
        <w:rPr>
          <w:spacing w:val="8"/>
          <w:szCs w:val="24"/>
        </w:rPr>
      </w:pPr>
      <w:r>
        <w:rPr>
          <w:rFonts w:hint="eastAsia"/>
          <w:spacing w:val="8"/>
          <w:szCs w:val="24"/>
        </w:rPr>
        <w:t>（七）有下列情况之一的，本条政策不予资助：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adjustRightInd w:val="0"/>
        <w:snapToGrid w:val="0"/>
        <w:ind w:firstLine="512"/>
        <w:contextualSpacing/>
        <w:rPr>
          <w:spacing w:val="8"/>
          <w:szCs w:val="24"/>
        </w:rPr>
      </w:pPr>
      <w:r>
        <w:rPr>
          <w:rFonts w:hint="eastAsia"/>
          <w:spacing w:val="8"/>
          <w:szCs w:val="24"/>
        </w:rPr>
        <w:t>（八）申报本条第（二）款资助的企业，以落户当年的租金申报资助的，资助时间范围为申报单位在坪山区注册或迁入之日后次月至2</w:t>
      </w:r>
      <w:r>
        <w:rPr>
          <w:spacing w:val="8"/>
          <w:szCs w:val="24"/>
        </w:rPr>
        <w:t>022</w:t>
      </w:r>
      <w:r>
        <w:rPr>
          <w:rFonts w:hint="eastAsia"/>
          <w:spacing w:val="8"/>
          <w:szCs w:val="24"/>
        </w:rPr>
        <w:t>年12月31日，租赁未满一年的以实际租赁时间为准；企业以第一个会计年度的租金申报资助的，资助时间范围为2</w:t>
      </w:r>
      <w:r>
        <w:rPr>
          <w:spacing w:val="8"/>
          <w:szCs w:val="24"/>
        </w:rPr>
        <w:t>022</w:t>
      </w:r>
      <w:r>
        <w:rPr>
          <w:rFonts w:hint="eastAsia"/>
          <w:spacing w:val="8"/>
          <w:szCs w:val="24"/>
        </w:rPr>
        <w:t>年</w:t>
      </w:r>
      <w:r>
        <w:rPr>
          <w:spacing w:val="8"/>
          <w:szCs w:val="24"/>
        </w:rPr>
        <w:t>1</w:t>
      </w:r>
      <w:r>
        <w:rPr>
          <w:rFonts w:hint="eastAsia"/>
          <w:spacing w:val="8"/>
          <w:szCs w:val="24"/>
        </w:rPr>
        <w:t>月</w:t>
      </w:r>
      <w:r>
        <w:rPr>
          <w:spacing w:val="8"/>
          <w:szCs w:val="24"/>
        </w:rPr>
        <w:t>1</w:t>
      </w:r>
      <w:r>
        <w:rPr>
          <w:rFonts w:hint="eastAsia"/>
          <w:spacing w:val="8"/>
          <w:szCs w:val="24"/>
        </w:rPr>
        <w:t>日至</w:t>
      </w:r>
      <w:r>
        <w:rPr>
          <w:spacing w:val="8"/>
          <w:szCs w:val="24"/>
        </w:rPr>
        <w:t>12</w:t>
      </w:r>
      <w:r>
        <w:rPr>
          <w:rFonts w:hint="eastAsia"/>
          <w:spacing w:val="8"/>
          <w:szCs w:val="24"/>
        </w:rPr>
        <w:t>月</w:t>
      </w:r>
      <w:r>
        <w:rPr>
          <w:spacing w:val="8"/>
          <w:szCs w:val="24"/>
        </w:rPr>
        <w:t>31</w:t>
      </w:r>
      <w:r>
        <w:rPr>
          <w:rFonts w:hint="eastAsia"/>
          <w:spacing w:val="8"/>
          <w:szCs w:val="24"/>
        </w:rPr>
        <w:t>日之间。</w:t>
      </w:r>
    </w:p>
    <w:p>
      <w:pPr>
        <w:adjustRightInd w:val="0"/>
        <w:snapToGrid w:val="0"/>
        <w:ind w:firstLine="512"/>
        <w:contextualSpacing/>
        <w:rPr>
          <w:spacing w:val="8"/>
          <w:szCs w:val="24"/>
        </w:rPr>
      </w:pPr>
      <w:r>
        <w:rPr>
          <w:rFonts w:hint="eastAsia"/>
          <w:spacing w:val="8"/>
          <w:szCs w:val="24"/>
        </w:rPr>
        <w:t>（九）本条第（一）款和第八节第（二）款不能同时申报。</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9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551"/>
        <w:gridCol w:w="5224"/>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4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6775"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4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551"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22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w:t>
            </w:r>
            <w:r>
              <w:rPr>
                <w:rFonts w:hint="eastAsia"/>
                <w:spacing w:val="8"/>
                <w:szCs w:val="24"/>
              </w:rPr>
              <w:t>《支持营利性服务业发展类—支持营利性服务业集聚发展专项资助项目申报书》</w:t>
            </w:r>
            <w:r>
              <w:rPr>
                <w:rFonts w:hint="eastAsia"/>
                <w:szCs w:val="28"/>
              </w:rPr>
              <w:t>；</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4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551" w:type="dxa"/>
            <w:vMerge w:val="continue"/>
            <w:tcBorders>
              <w:left w:val="single" w:color="auto" w:sz="4" w:space="0"/>
              <w:right w:val="single" w:color="auto" w:sz="4" w:space="0"/>
            </w:tcBorders>
            <w:vAlign w:val="center"/>
          </w:tcPr>
          <w:p>
            <w:pPr>
              <w:ind w:firstLine="0" w:firstLineChars="0"/>
              <w:jc w:val="center"/>
              <w:rPr>
                <w:szCs w:val="28"/>
              </w:rPr>
            </w:pPr>
          </w:p>
        </w:tc>
        <w:tc>
          <w:tcPr>
            <w:tcW w:w="522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4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551" w:type="dxa"/>
            <w:vMerge w:val="continue"/>
            <w:tcBorders>
              <w:left w:val="single" w:color="auto" w:sz="4" w:space="0"/>
              <w:right w:val="single" w:color="auto" w:sz="4" w:space="0"/>
            </w:tcBorders>
            <w:vAlign w:val="center"/>
          </w:tcPr>
          <w:p>
            <w:pPr>
              <w:ind w:firstLine="0" w:firstLineChars="0"/>
              <w:jc w:val="center"/>
              <w:rPr>
                <w:szCs w:val="28"/>
              </w:rPr>
            </w:pPr>
          </w:p>
        </w:tc>
        <w:tc>
          <w:tcPr>
            <w:tcW w:w="5224"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3.法定代表人身份证复印件和签字样本；</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4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551"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224"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4.2022年度纳税证明；</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48"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551"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22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w:t>
            </w:r>
            <w:r>
              <w:rPr>
                <w:rFonts w:hint="eastAsia"/>
                <w:spacing w:val="8"/>
                <w:szCs w:val="24"/>
              </w:rPr>
              <w:t>五年内</w:t>
            </w:r>
            <w:r>
              <w:rPr>
                <w:rFonts w:hint="eastAsia"/>
                <w:szCs w:val="28"/>
              </w:rPr>
              <w:t>不得搬离的承诺函原件</w:t>
            </w:r>
            <w:r>
              <w:rPr>
                <w:rFonts w:hint="eastAsia"/>
                <w:spacing w:val="8"/>
                <w:szCs w:val="24"/>
              </w:rPr>
              <w:t>（格式参见第六部分《承诺函（通用版）》）</w:t>
            </w:r>
            <w:r>
              <w:rPr>
                <w:rFonts w:hint="eastAsia"/>
                <w:szCs w:val="28"/>
              </w:rPr>
              <w:t>；</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4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551"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申报本条第（一）款资助的还需同时提供</w:t>
            </w:r>
          </w:p>
        </w:tc>
        <w:tc>
          <w:tcPr>
            <w:tcW w:w="522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6.自在坪山区纳税之日起至2022年12月份增值税申报表主表，2022年度企业所得税申报表主表；</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48"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551" w:type="dxa"/>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申报本条第（二）款资助的还需同时提供</w:t>
            </w:r>
          </w:p>
        </w:tc>
        <w:tc>
          <w:tcPr>
            <w:tcW w:w="522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7.租赁合同、街道等政府部门或有关单位出具的租赁凭证或场所使用证明</w:t>
            </w:r>
            <w:r>
              <w:rPr>
                <w:rFonts w:hint="eastAsia"/>
                <w:spacing w:val="8"/>
                <w:szCs w:val="24"/>
              </w:rPr>
              <w:t>；2022年度租金</w:t>
            </w:r>
            <w:r>
              <w:rPr>
                <w:spacing w:val="8"/>
                <w:szCs w:val="24"/>
              </w:rPr>
              <w:t>发票和</w:t>
            </w:r>
            <w:r>
              <w:rPr>
                <w:rFonts w:hint="eastAsia"/>
                <w:spacing w:val="8"/>
                <w:szCs w:val="24"/>
              </w:rPr>
              <w:t>支付凭证</w:t>
            </w:r>
            <w:r>
              <w:rPr>
                <w:spacing w:val="8"/>
                <w:szCs w:val="24"/>
              </w:rPr>
              <w:t>（验原件</w:t>
            </w:r>
            <w:r>
              <w:rPr>
                <w:rFonts w:hint="eastAsia"/>
                <w:spacing w:val="8"/>
                <w:szCs w:val="24"/>
              </w:rPr>
              <w:t>，</w:t>
            </w:r>
            <w:r>
              <w:rPr>
                <w:spacing w:val="8"/>
                <w:szCs w:val="24"/>
              </w:rPr>
              <w:t>收复印件）</w:t>
            </w:r>
            <w:r>
              <w:rPr>
                <w:rFonts w:hint="eastAsia"/>
                <w:szCs w:val="28"/>
              </w:rPr>
              <w:t>；租赁用房信息明细表（格式参见第六部分《租赁用房信息明细表》）；</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4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6775"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102"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9102"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tc>
      </w:tr>
    </w:tbl>
    <w:p>
      <w:pPr>
        <w:pStyle w:val="28"/>
        <w:spacing w:before="312" w:line="360" w:lineRule="auto"/>
        <w:sectPr>
          <w:pgSz w:w="11906" w:h="16838"/>
          <w:pgMar w:top="1440" w:right="1800" w:bottom="1440" w:left="1800" w:header="851" w:footer="992" w:gutter="0"/>
          <w:cols w:space="720" w:num="1"/>
          <w:docGrid w:type="lines" w:linePitch="312" w:charSpace="0"/>
        </w:sectPr>
      </w:pPr>
      <w:bookmarkStart w:id="131" w:name="_Toc74931560"/>
    </w:p>
    <w:p>
      <w:pPr>
        <w:pStyle w:val="28"/>
        <w:spacing w:before="312" w:line="360" w:lineRule="auto"/>
        <w:outlineLvl w:val="2"/>
        <w:rPr>
          <w:bCs/>
        </w:rPr>
      </w:pPr>
      <w:bookmarkStart w:id="132" w:name="_Toc157290138"/>
      <w:bookmarkStart w:id="133" w:name="_Toc1073091183"/>
      <w:bookmarkStart w:id="134" w:name="_Toc2039695012"/>
      <w:bookmarkStart w:id="135" w:name="_Toc703733459"/>
      <w:bookmarkStart w:id="136" w:name="_Toc2579"/>
      <w:bookmarkStart w:id="137" w:name="_Toc130905474"/>
      <w:bookmarkStart w:id="138" w:name="_Toc138949343"/>
      <w:r>
        <w:rPr>
          <w:rFonts w:hint="eastAsia"/>
        </w:rPr>
        <w:t xml:space="preserve">第八节 </w:t>
      </w:r>
      <w:bookmarkEnd w:id="131"/>
      <w:bookmarkEnd w:id="132"/>
      <w:bookmarkEnd w:id="133"/>
      <w:bookmarkEnd w:id="134"/>
      <w:bookmarkEnd w:id="135"/>
      <w:bookmarkEnd w:id="136"/>
      <w:r>
        <w:rPr>
          <w:rFonts w:hint="eastAsia"/>
        </w:rPr>
        <w:t>支持营利性服务业高质高速发展专项资助</w:t>
      </w:r>
      <w:bookmarkEnd w:id="137"/>
      <w:bookmarkEnd w:id="138"/>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（一）支持营利性服务业企业入库纳统。对首次纳入坪山区“规上”企业库的营利性服务业企业，给予10万元一次性奖励；对入库次年实现营业收入正增长的，再给予10万元一次性奖励。</w:t>
      </w:r>
    </w:p>
    <w:p>
      <w:pPr>
        <w:ind w:firstLine="512"/>
        <w:rPr>
          <w:spacing w:val="8"/>
          <w:szCs w:val="24"/>
        </w:rPr>
      </w:pPr>
      <w:r>
        <w:rPr>
          <w:rFonts w:hint="eastAsia"/>
          <w:spacing w:val="8"/>
          <w:szCs w:val="24"/>
        </w:rPr>
        <w:t>（二）支持营利性服务业企业快速增长。对上年度营业收入增长20%以上的规上营利性服务业企业，按增长部分的1%给予奖励。其中，软件和信息服务业、科学研究与技术服务业企业最高奖励100万元，租赁和商务服务业企业、居民服务、修理和其他服务业企业最高奖励50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pStyle w:val="2"/>
        <w:spacing w:line="360" w:lineRule="auto"/>
        <w:ind w:firstLine="478" w:firstLineChars="187"/>
        <w:rPr>
          <w:rFonts w:ascii="Times New Roman" w:eastAsia="宋体"/>
          <w:spacing w:val="8"/>
          <w:szCs w:val="24"/>
        </w:rPr>
      </w:pPr>
      <w:r>
        <w:rPr>
          <w:rFonts w:hint="eastAsia" w:ascii="Times New Roman" w:eastAsia="宋体"/>
          <w:spacing w:val="8"/>
          <w:szCs w:val="24"/>
        </w:rPr>
        <w:t>（二）申报本条第（一）款资助的，可不受上年度区级财力贡献限制。</w:t>
      </w:r>
    </w:p>
    <w:p>
      <w:pPr>
        <w:pStyle w:val="2"/>
        <w:spacing w:line="360" w:lineRule="auto"/>
        <w:ind w:firstLine="478" w:firstLineChars="187"/>
        <w:rPr>
          <w:rFonts w:ascii="Times New Roman" w:eastAsia="宋体"/>
          <w:spacing w:val="8"/>
          <w:szCs w:val="24"/>
        </w:rPr>
      </w:pPr>
      <w:r>
        <w:rPr>
          <w:rFonts w:hint="eastAsia" w:ascii="Times New Roman" w:eastAsia="宋体"/>
          <w:spacing w:val="8"/>
          <w:szCs w:val="24"/>
        </w:rPr>
        <w:t>（三）申报本条资助的企业，以企业所得税年度纳税申报表所属国民经济行业分类（行业代码前两位为</w:t>
      </w:r>
      <w:r>
        <w:rPr>
          <w:rFonts w:ascii="Times New Roman" w:eastAsia="宋体"/>
          <w:spacing w:val="8"/>
          <w:szCs w:val="24"/>
        </w:rPr>
        <w:t>64</w:t>
      </w:r>
      <w:r>
        <w:rPr>
          <w:rFonts w:hint="eastAsia" w:ascii="Times New Roman" w:eastAsia="宋体"/>
          <w:spacing w:val="8"/>
          <w:szCs w:val="24"/>
        </w:rPr>
        <w:t>、6</w:t>
      </w:r>
      <w:r>
        <w:rPr>
          <w:rFonts w:ascii="Times New Roman" w:eastAsia="宋体"/>
          <w:spacing w:val="8"/>
          <w:szCs w:val="24"/>
        </w:rPr>
        <w:t>5</w:t>
      </w:r>
      <w:r>
        <w:rPr>
          <w:rFonts w:hint="eastAsia" w:ascii="Times New Roman" w:eastAsia="宋体"/>
          <w:spacing w:val="8"/>
          <w:szCs w:val="24"/>
        </w:rPr>
        <w:t>、7</w:t>
      </w:r>
      <w:r>
        <w:rPr>
          <w:rFonts w:ascii="Times New Roman" w:eastAsia="宋体"/>
          <w:spacing w:val="8"/>
          <w:szCs w:val="24"/>
        </w:rPr>
        <w:t>1</w:t>
      </w:r>
      <w:r>
        <w:rPr>
          <w:rFonts w:hint="eastAsia" w:ascii="Times New Roman" w:eastAsia="宋体"/>
          <w:spacing w:val="8"/>
          <w:szCs w:val="24"/>
        </w:rPr>
        <w:t>、7</w:t>
      </w:r>
      <w:r>
        <w:rPr>
          <w:rFonts w:ascii="Times New Roman" w:eastAsia="宋体"/>
          <w:spacing w:val="8"/>
          <w:szCs w:val="24"/>
        </w:rPr>
        <w:t>2</w:t>
      </w:r>
      <w:r>
        <w:rPr>
          <w:rFonts w:hint="eastAsia" w:ascii="Times New Roman" w:eastAsia="宋体"/>
          <w:spacing w:val="8"/>
          <w:szCs w:val="24"/>
        </w:rPr>
        <w:t>、7</w:t>
      </w:r>
      <w:r>
        <w:rPr>
          <w:rFonts w:ascii="Times New Roman" w:eastAsia="宋体"/>
          <w:spacing w:val="8"/>
          <w:szCs w:val="24"/>
        </w:rPr>
        <w:t>3</w:t>
      </w:r>
      <w:r>
        <w:rPr>
          <w:rFonts w:hint="eastAsia" w:ascii="Times New Roman" w:eastAsia="宋体"/>
          <w:spacing w:val="8"/>
          <w:szCs w:val="24"/>
        </w:rPr>
        <w:t>、7</w:t>
      </w:r>
      <w:r>
        <w:rPr>
          <w:rFonts w:ascii="Times New Roman" w:eastAsia="宋体"/>
          <w:spacing w:val="8"/>
          <w:szCs w:val="24"/>
        </w:rPr>
        <w:t>4</w:t>
      </w:r>
      <w:r>
        <w:rPr>
          <w:rFonts w:hint="eastAsia" w:ascii="Times New Roman" w:eastAsia="宋体"/>
          <w:spacing w:val="8"/>
          <w:szCs w:val="24"/>
        </w:rPr>
        <w:t>、7</w:t>
      </w:r>
      <w:r>
        <w:rPr>
          <w:rFonts w:ascii="Times New Roman" w:eastAsia="宋体"/>
          <w:spacing w:val="8"/>
          <w:szCs w:val="24"/>
        </w:rPr>
        <w:t>5</w:t>
      </w:r>
      <w:r>
        <w:rPr>
          <w:rFonts w:hint="eastAsia" w:ascii="Times New Roman" w:eastAsia="宋体"/>
          <w:spacing w:val="8"/>
          <w:szCs w:val="24"/>
        </w:rPr>
        <w:t>、8</w:t>
      </w:r>
      <w:r>
        <w:rPr>
          <w:rFonts w:ascii="Times New Roman" w:eastAsia="宋体"/>
          <w:spacing w:val="8"/>
          <w:szCs w:val="24"/>
        </w:rPr>
        <w:t>0</w:t>
      </w:r>
      <w:r>
        <w:rPr>
          <w:rFonts w:hint="eastAsia" w:ascii="Times New Roman" w:eastAsia="宋体"/>
          <w:spacing w:val="8"/>
          <w:szCs w:val="24"/>
        </w:rPr>
        <w:t>、8</w:t>
      </w:r>
      <w:r>
        <w:rPr>
          <w:rFonts w:ascii="Times New Roman" w:eastAsia="宋体"/>
          <w:spacing w:val="8"/>
          <w:szCs w:val="24"/>
        </w:rPr>
        <w:t>1</w:t>
      </w:r>
      <w:r>
        <w:rPr>
          <w:rFonts w:hint="eastAsia" w:ascii="Times New Roman" w:eastAsia="宋体"/>
          <w:spacing w:val="8"/>
          <w:szCs w:val="24"/>
        </w:rPr>
        <w:t>、8</w:t>
      </w:r>
      <w:r>
        <w:rPr>
          <w:rFonts w:ascii="Times New Roman" w:eastAsia="宋体"/>
          <w:spacing w:val="8"/>
          <w:szCs w:val="24"/>
        </w:rPr>
        <w:t>2</w:t>
      </w:r>
      <w:r>
        <w:rPr>
          <w:rFonts w:hint="eastAsia" w:ascii="Times New Roman" w:eastAsia="宋体"/>
          <w:spacing w:val="8"/>
          <w:szCs w:val="24"/>
        </w:rPr>
        <w:t>）为准；</w:t>
      </w:r>
    </w:p>
    <w:p>
      <w:pPr>
        <w:pStyle w:val="2"/>
        <w:spacing w:line="360" w:lineRule="auto"/>
        <w:ind w:firstLine="478" w:firstLineChars="187"/>
        <w:rPr>
          <w:rFonts w:ascii="Times New Roman" w:eastAsia="宋体"/>
          <w:spacing w:val="8"/>
          <w:szCs w:val="24"/>
        </w:rPr>
      </w:pPr>
      <w:r>
        <w:rPr>
          <w:rFonts w:hint="eastAsia" w:ascii="Times New Roman" w:eastAsia="宋体"/>
          <w:spacing w:val="8"/>
          <w:szCs w:val="24"/>
        </w:rPr>
        <w:t>（四）申报本条资助的营利性服务企业不包括数据中心企业，也不包括区属国资企业、社区股份公司。</w:t>
      </w:r>
    </w:p>
    <w:p>
      <w:pPr>
        <w:ind w:firstLine="512"/>
        <w:rPr>
          <w:spacing w:val="8"/>
          <w:szCs w:val="24"/>
        </w:rPr>
      </w:pPr>
      <w:r>
        <w:rPr>
          <w:rFonts w:hint="eastAsia"/>
          <w:spacing w:val="8"/>
          <w:szCs w:val="24"/>
        </w:rPr>
        <w:t>（五）有下列情况之一的，本条政策不予资助：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（六）本条第（二）款和第七节第（一）款不能同时申报。</w:t>
      </w:r>
    </w:p>
    <w:p>
      <w:pPr>
        <w:ind w:firstLine="512"/>
        <w:rPr>
          <w:spacing w:val="8"/>
          <w:szCs w:val="24"/>
        </w:rPr>
      </w:pPr>
      <w:r>
        <w:rPr>
          <w:rFonts w:hint="eastAsia"/>
          <w:spacing w:val="8"/>
          <w:szCs w:val="24"/>
        </w:rPr>
        <w:t>（七）申报第（一）款资助的，申报审核流程见第一部分“经济发展专项资金资助项目申报与审核流程”的免申即享。</w:t>
      </w:r>
    </w:p>
    <w:p>
      <w:pPr>
        <w:ind w:firstLine="512"/>
      </w:pPr>
      <w:r>
        <w:rPr>
          <w:rFonts w:hint="eastAsia"/>
          <w:spacing w:val="8"/>
          <w:szCs w:val="24"/>
        </w:rPr>
        <w:t>（八）申报第（二）款资助的，如企业的纳统行业代码及名称为“</w:t>
      </w:r>
      <w:r>
        <w:rPr>
          <w:spacing w:val="8"/>
          <w:szCs w:val="24"/>
        </w:rPr>
        <w:t>745</w:t>
      </w:r>
      <w:r>
        <w:rPr>
          <w:rFonts w:hint="eastAsia"/>
          <w:spacing w:val="8"/>
          <w:szCs w:val="24"/>
        </w:rPr>
        <w:t>”“</w:t>
      </w:r>
      <w:r>
        <w:rPr>
          <w:rFonts w:hint="eastAsia"/>
        </w:rPr>
        <w:t>质检技术服务</w:t>
      </w:r>
      <w:r>
        <w:rPr>
          <w:rFonts w:hint="eastAsia"/>
          <w:spacing w:val="8"/>
          <w:szCs w:val="24"/>
        </w:rPr>
        <w:t>”，其营业收入按扣除政府采购收入后的营业收入计算；如企业的纳统行业代码及名称为“</w:t>
      </w:r>
      <w:r>
        <w:rPr>
          <w:spacing w:val="8"/>
          <w:szCs w:val="24"/>
        </w:rPr>
        <w:t>726</w:t>
      </w:r>
      <w:r>
        <w:rPr>
          <w:rFonts w:hint="eastAsia"/>
          <w:spacing w:val="8"/>
          <w:szCs w:val="24"/>
        </w:rPr>
        <w:t>”“</w:t>
      </w:r>
      <w:r>
        <w:rPr>
          <w:rFonts w:hint="eastAsia"/>
        </w:rPr>
        <w:t>人力资源服务业</w:t>
      </w:r>
      <w:r>
        <w:rPr>
          <w:rFonts w:hint="eastAsia"/>
          <w:spacing w:val="8"/>
          <w:szCs w:val="24"/>
        </w:rPr>
        <w:t>”，其营业收入按扣除代收代付收入后的营业收入计算。</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五、本条第（二）款</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65"/>
        <w:gridCol w:w="5670"/>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35"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65"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67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1.《支持营利性服务业发展—支持营利性服务业高质高速发展专项资助项目申报书》；</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5" w:type="dxa"/>
            <w:vMerge w:val="continue"/>
            <w:tcBorders>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2.营业执照复印件（三证合一新版）（验原件，收复印件）；</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5" w:type="dxa"/>
            <w:vMerge w:val="continue"/>
            <w:tcBorders>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3.法定代表人身份证复印件和签字样本；</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5"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4.2022年度纳税证明；</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465"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65"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申报本条第（二）款资助的还需同时提供</w:t>
            </w:r>
          </w:p>
        </w:tc>
        <w:tc>
          <w:tcPr>
            <w:tcW w:w="567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6.</w:t>
            </w:r>
            <w:r>
              <w:rPr>
                <w:szCs w:val="28"/>
              </w:rPr>
              <w:t>2021</w:t>
            </w:r>
            <w:r>
              <w:rPr>
                <w:rFonts w:hint="eastAsia"/>
                <w:szCs w:val="28"/>
              </w:rPr>
              <w:t>、2022年12月份增值税申报表主表，</w:t>
            </w:r>
            <w:r>
              <w:rPr>
                <w:szCs w:val="28"/>
              </w:rPr>
              <w:t>2021</w:t>
            </w:r>
            <w:r>
              <w:rPr>
                <w:rFonts w:hint="eastAsia"/>
                <w:szCs w:val="28"/>
              </w:rPr>
              <w:t>、2022年度企业所得税申报表主表；</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5" w:type="dxa"/>
            <w:vMerge w:val="continue"/>
            <w:tcBorders>
              <w:left w:val="single" w:color="auto" w:sz="4" w:space="0"/>
              <w:right w:val="single" w:color="auto" w:sz="4" w:space="0"/>
            </w:tcBorders>
            <w:vAlign w:val="center"/>
          </w:tcPr>
          <w:p>
            <w:pPr>
              <w:ind w:firstLine="0" w:firstLineChars="0"/>
              <w:jc w:val="center"/>
              <w:rPr>
                <w:szCs w:val="28"/>
              </w:rPr>
            </w:pPr>
          </w:p>
        </w:tc>
        <w:tc>
          <w:tcPr>
            <w:tcW w:w="567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7</w:t>
            </w:r>
            <w:r>
              <w:rPr>
                <w:szCs w:val="28"/>
              </w:rPr>
              <w:t>.</w:t>
            </w:r>
            <w:r>
              <w:rPr>
                <w:rFonts w:hint="eastAsia"/>
                <w:szCs w:val="28"/>
              </w:rPr>
              <w:t>如企业的纳统行业代码及名称为“745”“质检技术服务”或“726”“人力资源服务业”，需提供经注册会计师行业统一监管平台备案的营业收入专项审计报告（格式参见第六部分《项目专项审计报告提纲》）（验原件，收复印件）；</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7135"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58"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jc w:val="center"/>
        </w:trPr>
        <w:tc>
          <w:tcPr>
            <w:tcW w:w="8958" w:type="dxa"/>
            <w:gridSpan w:val="4"/>
            <w:tcBorders>
              <w:top w:val="single" w:color="auto" w:sz="4" w:space="0"/>
              <w:left w:val="single" w:color="auto" w:sz="4" w:space="0"/>
              <w:bottom w:val="single" w:color="auto" w:sz="4" w:space="0"/>
              <w:right w:val="single" w:color="auto" w:sz="4" w:space="0"/>
            </w:tcBorders>
            <w:vAlign w:val="center"/>
          </w:tcPr>
          <w:p>
            <w:pPr>
              <w:spacing w:after="120"/>
              <w:ind w:firstLine="0" w:firstLineChars="0"/>
              <w:rPr>
                <w:rFonts w:ascii="宋体" w:hAnsi="宋体" w:cs="宋体"/>
                <w:szCs w:val="24"/>
              </w:rPr>
            </w:pPr>
          </w:p>
          <w:p>
            <w:pPr>
              <w:pStyle w:val="3"/>
              <w:spacing w:line="360" w:lineRule="auto"/>
              <w:ind w:firstLine="0" w:firstLineChars="0"/>
              <w:rPr>
                <w:rFonts w:ascii="宋体" w:hAnsi="宋体" w:eastAsia="宋体" w:cs="宋体"/>
              </w:rPr>
            </w:pPr>
          </w:p>
          <w:p>
            <w:pPr>
              <w:ind w:firstLine="480"/>
            </w:pPr>
          </w:p>
          <w:p>
            <w:pPr>
              <w:ind w:firstLine="0" w:firstLineChars="0"/>
              <w:jc w:val="left"/>
              <w:rPr>
                <w:rFonts w:ascii="宋体" w:hAnsi="宋体" w:cs="宋体"/>
                <w:szCs w:val="24"/>
              </w:rPr>
            </w:pPr>
          </w:p>
        </w:tc>
      </w:tr>
    </w:tbl>
    <w:p>
      <w:pPr>
        <w:pStyle w:val="28"/>
        <w:spacing w:before="312" w:line="360" w:lineRule="auto"/>
        <w:sectPr>
          <w:pgSz w:w="11906" w:h="16838"/>
          <w:pgMar w:top="1440" w:right="1800" w:bottom="1440" w:left="1800" w:header="851" w:footer="992" w:gutter="0"/>
          <w:cols w:space="720" w:num="1"/>
          <w:docGrid w:type="lines" w:linePitch="312" w:charSpace="0"/>
        </w:sectPr>
      </w:pPr>
      <w:bookmarkStart w:id="139" w:name="_Toc74931561"/>
    </w:p>
    <w:p>
      <w:pPr>
        <w:pStyle w:val="28"/>
        <w:spacing w:before="312" w:line="360" w:lineRule="auto"/>
        <w:outlineLvl w:val="2"/>
        <w:rPr>
          <w:bCs/>
        </w:rPr>
      </w:pPr>
      <w:bookmarkStart w:id="140" w:name="_Toc1449893035"/>
      <w:bookmarkStart w:id="141" w:name="_Toc7402"/>
      <w:bookmarkStart w:id="142" w:name="_Toc803918834"/>
      <w:bookmarkStart w:id="143" w:name="_Toc594046507"/>
      <w:bookmarkStart w:id="144" w:name="_Toc1545674105"/>
      <w:bookmarkStart w:id="145" w:name="_Toc138949344"/>
      <w:bookmarkStart w:id="146" w:name="_Toc130905475"/>
      <w:r>
        <w:rPr>
          <w:rFonts w:hint="eastAsia"/>
        </w:rPr>
        <w:t xml:space="preserve">第九节 </w:t>
      </w:r>
      <w:bookmarkEnd w:id="139"/>
      <w:bookmarkEnd w:id="140"/>
      <w:bookmarkEnd w:id="141"/>
      <w:bookmarkEnd w:id="142"/>
      <w:bookmarkEnd w:id="143"/>
      <w:bookmarkEnd w:id="144"/>
      <w:r>
        <w:rPr>
          <w:rFonts w:hint="eastAsia"/>
        </w:rPr>
        <w:t>支持法律会计服务业集聚发展专项资助</w:t>
      </w:r>
      <w:bookmarkEnd w:id="145"/>
      <w:bookmarkEnd w:id="146"/>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（一）支持法律会计机构落户</w:t>
      </w:r>
    </w:p>
    <w:p>
      <w:pPr>
        <w:ind w:firstLine="512"/>
        <w:rPr>
          <w:spacing w:val="8"/>
          <w:szCs w:val="24"/>
        </w:rPr>
      </w:pPr>
      <w:r>
        <w:rPr>
          <w:rFonts w:hint="eastAsia"/>
          <w:spacing w:val="8"/>
          <w:szCs w:val="24"/>
        </w:rPr>
        <w:t>1.全国、广东省优秀律师事务所将注册地迁至坪山区的，分别给予300万元、50万元一次性奖励；在坪山区新设立分支机构，执业律师人数在10人以上的，分别给予100万元、30万元一次性奖励。</w:t>
      </w:r>
    </w:p>
    <w:p>
      <w:pPr>
        <w:ind w:firstLine="512"/>
        <w:rPr>
          <w:spacing w:val="8"/>
          <w:szCs w:val="24"/>
        </w:rPr>
      </w:pPr>
      <w:r>
        <w:rPr>
          <w:rFonts w:hint="eastAsia"/>
          <w:spacing w:val="8"/>
          <w:szCs w:val="24"/>
        </w:rPr>
        <w:t>2.对全国、广东省百强会计师事务所将注册地迁至坪山区的，分别给予300万元、50万元一次性奖励；在坪山区新设立分支机构的，分别给予100万元、30万元一次性奖励。</w:t>
      </w:r>
    </w:p>
    <w:p>
      <w:pPr>
        <w:ind w:firstLine="512"/>
        <w:rPr>
          <w:spacing w:val="8"/>
          <w:szCs w:val="24"/>
        </w:rPr>
      </w:pPr>
      <w:r>
        <w:rPr>
          <w:rFonts w:hint="eastAsia"/>
          <w:spacing w:val="8"/>
          <w:szCs w:val="24"/>
        </w:rPr>
        <w:t>3.对香港、澳门地区律师事务所与内地律师事务所在坪山区设立联营律师事务所并实际经营的，给予30万元一次性奖励。</w:t>
      </w:r>
    </w:p>
    <w:p>
      <w:pPr>
        <w:ind w:firstLine="512"/>
        <w:rPr>
          <w:spacing w:val="8"/>
          <w:szCs w:val="24"/>
        </w:rPr>
      </w:pPr>
      <w:r>
        <w:rPr>
          <w:rFonts w:hint="eastAsia"/>
          <w:spacing w:val="8"/>
          <w:szCs w:val="24"/>
        </w:rPr>
        <w:t>4.对在坪山区新设立以海事海商、知识产权、跨境投资、涉外法律服务为主要业务，且获得省级以上行业主管部门、法学会、行业协会授予的行业综合性荣誉的知名律师事务所或其支机构，经区司法局备案，分别给予100万元、30万元一次性奖励；对取得专利代理、商标代理、破产管理人等相应资质的坪山区律师事务所，经区司法局备案，给予30万一次性奖励。</w:t>
      </w:r>
    </w:p>
    <w:p>
      <w:pPr>
        <w:ind w:firstLine="512"/>
        <w:rPr>
          <w:spacing w:val="8"/>
          <w:szCs w:val="24"/>
        </w:rPr>
      </w:pPr>
      <w:r>
        <w:rPr>
          <w:rFonts w:hint="eastAsia"/>
          <w:spacing w:val="8"/>
          <w:szCs w:val="24"/>
        </w:rPr>
        <w:t>5.对2021年1月1日后新迁入或新设立的会计师事务所，在本区注册且持续经营1年（含）以上，营业收入200万元以上的，给予10万元一次性奖励。</w:t>
      </w:r>
    </w:p>
    <w:p>
      <w:pPr>
        <w:ind w:firstLine="512"/>
        <w:rPr>
          <w:spacing w:val="8"/>
          <w:szCs w:val="24"/>
        </w:rPr>
      </w:pPr>
      <w:r>
        <w:rPr>
          <w:rFonts w:hint="eastAsia"/>
          <w:spacing w:val="8"/>
          <w:szCs w:val="24"/>
        </w:rPr>
        <w:t>（二）支持法律会计机构租赁办公用房</w:t>
      </w:r>
    </w:p>
    <w:p>
      <w:pPr>
        <w:ind w:firstLine="512"/>
        <w:rPr>
          <w:spacing w:val="8"/>
          <w:szCs w:val="24"/>
        </w:rPr>
      </w:pPr>
      <w:r>
        <w:rPr>
          <w:rFonts w:hint="eastAsia"/>
          <w:spacing w:val="8"/>
          <w:szCs w:val="24"/>
        </w:rPr>
        <w:t>1.对全国优秀律师事务所、广东省优秀律师事务所、全国百强会计师事务所、广东省</w:t>
      </w:r>
      <w:bookmarkStart w:id="147" w:name="_Hlk115104184"/>
      <w:r>
        <w:rPr>
          <w:rFonts w:hint="eastAsia"/>
          <w:spacing w:val="8"/>
          <w:szCs w:val="24"/>
        </w:rPr>
        <w:t>百强会计师事务所</w:t>
      </w:r>
      <w:bookmarkEnd w:id="147"/>
      <w:r>
        <w:rPr>
          <w:rFonts w:hint="eastAsia"/>
          <w:spacing w:val="8"/>
          <w:szCs w:val="24"/>
        </w:rPr>
        <w:t>将注册地迁入坪山区或在坪山区新设立分支机构，且租赁坪山区物业作为自用办公用房（不含附属和配套用房）的，按</w:t>
      </w:r>
      <w:bookmarkStart w:id="148" w:name="_Hlk115104747"/>
      <w:r>
        <w:rPr>
          <w:rFonts w:hint="eastAsia"/>
          <w:spacing w:val="8"/>
          <w:szCs w:val="24"/>
        </w:rPr>
        <w:t>落户当年或落户后第一个会计年</w:t>
      </w:r>
      <w:bookmarkEnd w:id="148"/>
      <w:r>
        <w:rPr>
          <w:rFonts w:hint="eastAsia"/>
          <w:spacing w:val="8"/>
          <w:szCs w:val="24"/>
        </w:rPr>
        <w:t>度实际租金的50%，且不超过50元/平方米/月的标准，给予最高200万元一次性资助。</w:t>
      </w:r>
    </w:p>
    <w:p>
      <w:pPr>
        <w:ind w:firstLine="512"/>
        <w:rPr>
          <w:spacing w:val="8"/>
          <w:szCs w:val="24"/>
        </w:rPr>
      </w:pPr>
      <w:r>
        <w:rPr>
          <w:rFonts w:hint="eastAsia"/>
          <w:spacing w:val="8"/>
          <w:szCs w:val="24"/>
        </w:rPr>
        <w:t>2.对拥有执业人数15人以上的律师事务所或注册会计师5人以上的会计师事务所，租赁坪山区物业作为自用办公用房（不含附属和配套用房）的，按落户当年或落户后第一个会计年度实际租金的30%，且不超过30元/平方米/月的标准，给予最高50万元一次性资助。</w:t>
      </w:r>
    </w:p>
    <w:p>
      <w:pPr>
        <w:ind w:firstLine="512"/>
        <w:rPr>
          <w:spacing w:val="8"/>
          <w:szCs w:val="24"/>
        </w:rPr>
      </w:pPr>
      <w:r>
        <w:rPr>
          <w:rFonts w:hint="eastAsia"/>
          <w:spacing w:val="8"/>
          <w:szCs w:val="24"/>
        </w:rPr>
        <w:t>3.对2019年1月1日后</w:t>
      </w:r>
      <w:r>
        <w:rPr>
          <w:rFonts w:hint="eastAsia"/>
          <w:spacing w:val="8"/>
          <w:szCs w:val="24"/>
          <w:lang w:val="en"/>
        </w:rPr>
        <w:t>设立</w:t>
      </w:r>
      <w:r>
        <w:rPr>
          <w:rFonts w:hint="eastAsia"/>
          <w:spacing w:val="8"/>
          <w:szCs w:val="24"/>
        </w:rPr>
        <w:t>的</w:t>
      </w:r>
      <w:r>
        <w:rPr>
          <w:rFonts w:hint="eastAsia"/>
          <w:spacing w:val="8"/>
          <w:szCs w:val="24"/>
          <w:lang w:val="en"/>
        </w:rPr>
        <w:t>调解机构、</w:t>
      </w:r>
      <w:r>
        <w:rPr>
          <w:rFonts w:hint="eastAsia"/>
          <w:spacing w:val="8"/>
          <w:szCs w:val="24"/>
        </w:rPr>
        <w:t>仲裁机构，经区司法局备案，按上年度实际租金的30%，且不超过30元/平方米/月的标准，给予一年租金资助，单个机构最高资助30万元。</w:t>
      </w:r>
    </w:p>
    <w:p>
      <w:pPr>
        <w:ind w:firstLine="512"/>
        <w:rPr>
          <w:spacing w:val="8"/>
          <w:szCs w:val="24"/>
        </w:rPr>
      </w:pPr>
      <w:r>
        <w:rPr>
          <w:rFonts w:hint="eastAsia"/>
          <w:spacing w:val="8"/>
          <w:szCs w:val="24"/>
        </w:rPr>
        <w:t>（三）支持法律会计机构人才执业</w:t>
      </w:r>
    </w:p>
    <w:p>
      <w:pPr>
        <w:ind w:firstLine="512"/>
        <w:rPr>
          <w:spacing w:val="8"/>
          <w:szCs w:val="24"/>
        </w:rPr>
      </w:pPr>
      <w:r>
        <w:rPr>
          <w:rFonts w:hint="eastAsia"/>
          <w:spacing w:val="8"/>
          <w:szCs w:val="24"/>
        </w:rPr>
        <w:t>1.对拥有注册会计师、注册税务师、资产评估师、律师等专业资格证书的人才，年龄在35周岁(含)以下，具有本科及以上学历，2020年1月1日后在坪山区法律会计机构开始执业，且连续执业12个月以上的，给予2万元一次性奖励。</w:t>
      </w:r>
    </w:p>
    <w:p>
      <w:pPr>
        <w:ind w:firstLine="512"/>
        <w:rPr>
          <w:spacing w:val="8"/>
          <w:szCs w:val="24"/>
        </w:rPr>
      </w:pPr>
      <w:r>
        <w:rPr>
          <w:rFonts w:hint="eastAsia"/>
          <w:spacing w:val="8"/>
          <w:szCs w:val="24"/>
        </w:rPr>
        <w:t>2.对同时具备工学和法学学士学位以上的复合型人才，2023年1月1日后在坪山区法律会计机构开始执业，且连续执业12个月以上的，给予3万元一次性奖励。</w:t>
      </w:r>
    </w:p>
    <w:p>
      <w:pPr>
        <w:ind w:firstLine="512"/>
        <w:rPr>
          <w:spacing w:val="8"/>
          <w:szCs w:val="24"/>
        </w:rPr>
      </w:pPr>
      <w:r>
        <w:rPr>
          <w:rFonts w:hint="eastAsia"/>
          <w:spacing w:val="8"/>
          <w:szCs w:val="24"/>
        </w:rPr>
        <w:t>（四）支持港澳律师在坪山执业</w:t>
      </w:r>
    </w:p>
    <w:p>
      <w:pPr>
        <w:ind w:firstLine="512"/>
        <w:rPr>
          <w:spacing w:val="8"/>
          <w:szCs w:val="24"/>
        </w:rPr>
      </w:pPr>
      <w:r>
        <w:rPr>
          <w:rFonts w:hint="eastAsia"/>
          <w:spacing w:val="8"/>
          <w:szCs w:val="24"/>
        </w:rPr>
        <w:t>1.对香港法律执业者和澳门执业律师通过粤港澳大湾区律师执业考试，取得内地执业资质且在坪山区连续执业12个月以上的，给予10万元一次性奖励。</w:t>
      </w:r>
    </w:p>
    <w:p>
      <w:pPr>
        <w:ind w:firstLine="512"/>
        <w:rPr>
          <w:spacing w:val="8"/>
          <w:szCs w:val="24"/>
          <w:highlight w:val="yellow"/>
        </w:rPr>
      </w:pPr>
      <w:r>
        <w:rPr>
          <w:rFonts w:hint="eastAsia"/>
          <w:spacing w:val="8"/>
          <w:szCs w:val="24"/>
        </w:rPr>
        <w:t>2.对取得香港或澳门法律执业资质的内地法律执业者，在坪山区连续执业12个月以上的，给予5万元一次性奖励。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p>
    <w:p>
      <w:pPr>
        <w:ind w:firstLine="512"/>
        <w:rPr>
          <w:spacing w:val="8"/>
          <w:szCs w:val="24"/>
        </w:rPr>
      </w:pPr>
      <w:r>
        <w:rPr>
          <w:rFonts w:hint="eastAsia"/>
          <w:spacing w:val="8"/>
          <w:szCs w:val="24"/>
        </w:rPr>
        <w:t>（二）申报本条政策资助的个人需满足以下基本条件：</w:t>
      </w:r>
    </w:p>
    <w:p>
      <w:pPr>
        <w:ind w:firstLine="512"/>
        <w:rPr>
          <w:spacing w:val="8"/>
          <w:szCs w:val="24"/>
        </w:rPr>
      </w:pPr>
      <w:r>
        <w:rPr>
          <w:rFonts w:hint="eastAsia"/>
          <w:spacing w:val="8"/>
          <w:szCs w:val="24"/>
        </w:rPr>
        <w:t>1.遵纪守法，近三年无犯罪记录；</w:t>
      </w:r>
    </w:p>
    <w:p>
      <w:pPr>
        <w:ind w:firstLine="512"/>
        <w:rPr>
          <w:spacing w:val="8"/>
          <w:szCs w:val="24"/>
        </w:rPr>
      </w:pPr>
      <w:r>
        <w:rPr>
          <w:rFonts w:hint="eastAsia"/>
          <w:spacing w:val="8"/>
          <w:szCs w:val="24"/>
        </w:rPr>
        <w:t>2.至申报时仍满足专项资金政策的要求。</w:t>
      </w:r>
    </w:p>
    <w:p>
      <w:pPr>
        <w:ind w:firstLine="480"/>
      </w:pPr>
      <w:r>
        <w:rPr>
          <w:rFonts w:hint="eastAsia"/>
        </w:rPr>
        <w:t>（三）申报本条资助的企业，以企业所得税年度纳税申报表所属国民经济行业分类（行业代码前三位为723、724）为准；</w:t>
      </w:r>
    </w:p>
    <w:p>
      <w:pPr>
        <w:ind w:firstLine="512"/>
        <w:rPr>
          <w:spacing w:val="8"/>
          <w:szCs w:val="24"/>
        </w:rPr>
      </w:pPr>
      <w:r>
        <w:rPr>
          <w:rFonts w:hint="eastAsia"/>
          <w:spacing w:val="8"/>
          <w:szCs w:val="24"/>
        </w:rPr>
        <w:t>（四）申报本条第（一）（二）款资助的</w:t>
      </w:r>
      <w:r>
        <w:rPr>
          <w:spacing w:val="8"/>
          <w:szCs w:val="24"/>
        </w:rPr>
        <w:t>分支机构</w:t>
      </w:r>
      <w:r>
        <w:rPr>
          <w:rFonts w:hint="eastAsia"/>
          <w:spacing w:val="8"/>
          <w:szCs w:val="24"/>
        </w:rPr>
        <w:t>，</w:t>
      </w:r>
      <w:r>
        <w:rPr>
          <w:spacing w:val="8"/>
          <w:szCs w:val="24"/>
        </w:rPr>
        <w:t>可不</w:t>
      </w:r>
      <w:r>
        <w:rPr>
          <w:rFonts w:hint="eastAsia"/>
          <w:spacing w:val="8"/>
          <w:szCs w:val="24"/>
        </w:rPr>
        <w:t>受</w:t>
      </w:r>
      <w:r>
        <w:rPr>
          <w:spacing w:val="8"/>
          <w:szCs w:val="24"/>
        </w:rPr>
        <w:t>独立法人资格</w:t>
      </w:r>
      <w:r>
        <w:rPr>
          <w:rFonts w:hint="eastAsia"/>
          <w:spacing w:val="8"/>
          <w:szCs w:val="24"/>
        </w:rPr>
        <w:t>限制。</w:t>
      </w:r>
    </w:p>
    <w:p>
      <w:pPr>
        <w:ind w:firstLine="512"/>
        <w:rPr>
          <w:spacing w:val="8"/>
          <w:szCs w:val="24"/>
        </w:rPr>
      </w:pPr>
      <w:r>
        <w:rPr>
          <w:rFonts w:hint="eastAsia"/>
          <w:spacing w:val="8"/>
          <w:szCs w:val="24"/>
        </w:rPr>
        <w:t>（五）</w:t>
      </w:r>
      <w:bookmarkStart w:id="149" w:name="_Hlk115278519"/>
      <w:r>
        <w:rPr>
          <w:rFonts w:hint="eastAsia"/>
          <w:spacing w:val="8"/>
          <w:szCs w:val="24"/>
        </w:rPr>
        <w:t>申报本条第（一）款第3项资助的，可</w:t>
      </w:r>
      <w:r>
        <w:rPr>
          <w:spacing w:val="8"/>
          <w:szCs w:val="24"/>
        </w:rPr>
        <w:t>不</w:t>
      </w:r>
      <w:r>
        <w:rPr>
          <w:rFonts w:hint="eastAsia"/>
          <w:spacing w:val="8"/>
          <w:szCs w:val="24"/>
        </w:rPr>
        <w:t>受</w:t>
      </w:r>
      <w:r>
        <w:rPr>
          <w:spacing w:val="8"/>
          <w:szCs w:val="24"/>
        </w:rPr>
        <w:t>独立法人</w:t>
      </w:r>
      <w:r>
        <w:rPr>
          <w:rFonts w:hint="eastAsia"/>
          <w:spacing w:val="8"/>
          <w:szCs w:val="24"/>
        </w:rPr>
        <w:t>资格限制。</w:t>
      </w:r>
    </w:p>
    <w:bookmarkEnd w:id="149"/>
    <w:p>
      <w:pPr>
        <w:ind w:firstLine="512"/>
        <w:rPr>
          <w:spacing w:val="8"/>
          <w:szCs w:val="24"/>
        </w:rPr>
      </w:pPr>
      <w:r>
        <w:rPr>
          <w:rFonts w:hint="eastAsia"/>
          <w:spacing w:val="8"/>
          <w:szCs w:val="24"/>
        </w:rPr>
        <w:t>（六）申报本条资助的，可不受上年度区级财力贡献限制。</w:t>
      </w:r>
    </w:p>
    <w:p>
      <w:pPr>
        <w:ind w:firstLine="512"/>
        <w:rPr>
          <w:spacing w:val="8"/>
          <w:szCs w:val="24"/>
        </w:rPr>
      </w:pPr>
      <w:r>
        <w:rPr>
          <w:rFonts w:hint="eastAsia"/>
          <w:spacing w:val="8"/>
          <w:szCs w:val="24"/>
        </w:rPr>
        <w:t>（七）有下列情况之一的，本条政策不予资助：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（八）全国优秀律师事务所，是指</w:t>
      </w:r>
      <w:r>
        <w:rPr>
          <w:spacing w:val="8"/>
          <w:szCs w:val="24"/>
        </w:rPr>
        <w:t>入选由司法部最新发布的</w:t>
      </w:r>
      <w:r>
        <w:rPr>
          <w:rFonts w:hint="eastAsia"/>
          <w:spacing w:val="8"/>
          <w:szCs w:val="24"/>
        </w:rPr>
        <w:t>“</w:t>
      </w:r>
      <w:r>
        <w:rPr>
          <w:spacing w:val="8"/>
          <w:szCs w:val="24"/>
        </w:rPr>
        <w:t>全国优秀律师事务所名单</w:t>
      </w:r>
      <w:r>
        <w:rPr>
          <w:rFonts w:hint="eastAsia"/>
          <w:spacing w:val="8"/>
          <w:szCs w:val="24"/>
        </w:rPr>
        <w:t>”的律师事务所；广东省优秀律师事务所，是指</w:t>
      </w:r>
      <w:r>
        <w:rPr>
          <w:spacing w:val="8"/>
          <w:szCs w:val="24"/>
        </w:rPr>
        <w:t>入选广东省律师协会最新评选的</w:t>
      </w:r>
      <w:r>
        <w:rPr>
          <w:rFonts w:hint="eastAsia"/>
          <w:spacing w:val="8"/>
          <w:szCs w:val="24"/>
        </w:rPr>
        <w:t>“</w:t>
      </w:r>
      <w:r>
        <w:rPr>
          <w:spacing w:val="8"/>
          <w:szCs w:val="24"/>
        </w:rPr>
        <w:t>广东省优秀律师事务所</w:t>
      </w:r>
      <w:r>
        <w:rPr>
          <w:rFonts w:hint="eastAsia"/>
          <w:spacing w:val="8"/>
          <w:szCs w:val="24"/>
        </w:rPr>
        <w:t>”。</w:t>
      </w:r>
    </w:p>
    <w:p>
      <w:pPr>
        <w:ind w:firstLine="512"/>
        <w:rPr>
          <w:spacing w:val="8"/>
          <w:szCs w:val="24"/>
        </w:rPr>
      </w:pPr>
      <w:r>
        <w:rPr>
          <w:rFonts w:hint="eastAsia"/>
          <w:spacing w:val="8"/>
          <w:szCs w:val="24"/>
        </w:rPr>
        <w:t>（九）全国百强会计师事务所，是指</w:t>
      </w:r>
      <w:r>
        <w:rPr>
          <w:spacing w:val="8"/>
          <w:szCs w:val="24"/>
        </w:rPr>
        <w:t>入选中国注册会计师协会最新发布的</w:t>
      </w:r>
      <w:r>
        <w:rPr>
          <w:rFonts w:hint="eastAsia"/>
          <w:spacing w:val="8"/>
          <w:szCs w:val="24"/>
        </w:rPr>
        <w:t>“</w:t>
      </w:r>
      <w:r>
        <w:rPr>
          <w:spacing w:val="8"/>
          <w:szCs w:val="24"/>
        </w:rPr>
        <w:t>国内会计师事务所（综合评价）100强名单</w:t>
      </w:r>
      <w:r>
        <w:rPr>
          <w:rFonts w:hint="eastAsia"/>
          <w:spacing w:val="8"/>
          <w:szCs w:val="24"/>
        </w:rPr>
        <w:t>”的会计师事务所；广东省百强会计师事务所，是指</w:t>
      </w:r>
      <w:r>
        <w:rPr>
          <w:spacing w:val="8"/>
          <w:szCs w:val="24"/>
        </w:rPr>
        <w:t>入选广东省注册会计师协会最新发布的</w:t>
      </w:r>
      <w:r>
        <w:rPr>
          <w:rFonts w:hint="eastAsia"/>
          <w:spacing w:val="8"/>
          <w:szCs w:val="24"/>
        </w:rPr>
        <w:t>“</w:t>
      </w:r>
      <w:r>
        <w:rPr>
          <w:spacing w:val="8"/>
          <w:szCs w:val="24"/>
        </w:rPr>
        <w:t>广东省会计师事务所排名综合评价前150名信息</w:t>
      </w:r>
      <w:r>
        <w:rPr>
          <w:rFonts w:hint="eastAsia"/>
          <w:spacing w:val="8"/>
          <w:szCs w:val="24"/>
        </w:rPr>
        <w:t>”</w:t>
      </w:r>
      <w:r>
        <w:rPr>
          <w:spacing w:val="8"/>
          <w:szCs w:val="24"/>
        </w:rPr>
        <w:t>前100名</w:t>
      </w:r>
      <w:r>
        <w:rPr>
          <w:rFonts w:hint="eastAsia"/>
          <w:spacing w:val="8"/>
          <w:szCs w:val="24"/>
        </w:rPr>
        <w:t>的会计师事务所。</w:t>
      </w:r>
    </w:p>
    <w:p>
      <w:pPr>
        <w:ind w:firstLine="512"/>
      </w:pPr>
      <w:r>
        <w:rPr>
          <w:rFonts w:hint="eastAsia"/>
          <w:spacing w:val="8"/>
          <w:szCs w:val="24"/>
        </w:rPr>
        <w:t>（十）本条第（二）款第1条与第2条不能同时申报。</w:t>
      </w:r>
    </w:p>
    <w:p>
      <w:pPr>
        <w:ind w:firstLine="512"/>
      </w:pPr>
      <w:r>
        <w:rPr>
          <w:rFonts w:hint="eastAsia"/>
          <w:spacing w:val="8"/>
          <w:szCs w:val="24"/>
        </w:rPr>
        <w:t>（十一）申报本条第（三）款资助的，相关人才须为坪山区全职从业人员，且在坪山区专业服务业机构连续缴纳社保12个月以上，由所在专业服务业机构统一申报。</w:t>
      </w:r>
    </w:p>
    <w:p>
      <w:pPr>
        <w:ind w:firstLine="512"/>
        <w:rPr>
          <w:spacing w:val="8"/>
          <w:szCs w:val="24"/>
        </w:rPr>
      </w:pPr>
      <w:r>
        <w:rPr>
          <w:spacing w:val="8"/>
          <w:szCs w:val="24"/>
        </w:rPr>
        <w:t>（</w:t>
      </w:r>
      <w:r>
        <w:rPr>
          <w:rFonts w:hint="eastAsia"/>
          <w:spacing w:val="8"/>
          <w:szCs w:val="24"/>
        </w:rPr>
        <w:t>十二</w:t>
      </w:r>
      <w:r>
        <w:rPr>
          <w:spacing w:val="8"/>
          <w:szCs w:val="24"/>
        </w:rPr>
        <w:t>）</w:t>
      </w:r>
      <w:r>
        <w:rPr>
          <w:rFonts w:hint="eastAsia"/>
          <w:spacing w:val="8"/>
          <w:szCs w:val="24"/>
        </w:rPr>
        <w:t>申报本条</w:t>
      </w:r>
      <w:r>
        <w:rPr>
          <w:spacing w:val="8"/>
          <w:szCs w:val="24"/>
        </w:rPr>
        <w:t>第</w:t>
      </w:r>
      <w:r>
        <w:rPr>
          <w:rFonts w:hint="eastAsia"/>
          <w:spacing w:val="8"/>
          <w:szCs w:val="24"/>
        </w:rPr>
        <w:t>（四）</w:t>
      </w:r>
      <w:r>
        <w:rPr>
          <w:spacing w:val="8"/>
          <w:szCs w:val="24"/>
        </w:rPr>
        <w:t>款资助的，由所在律师事务所统一申报</w:t>
      </w:r>
      <w:r>
        <w:rPr>
          <w:rFonts w:hint="eastAsia"/>
          <w:spacing w:val="8"/>
          <w:szCs w:val="24"/>
        </w:rPr>
        <w:t>。</w:t>
      </w:r>
    </w:p>
    <w:p>
      <w:pPr>
        <w:ind w:firstLine="512"/>
        <w:rPr>
          <w:rFonts w:ascii="宋体" w:hAnsi="宋体" w:cs="宋体"/>
          <w:szCs w:val="24"/>
        </w:rPr>
      </w:pPr>
      <w:r>
        <w:rPr>
          <w:rFonts w:hint="eastAsia"/>
          <w:spacing w:val="8"/>
          <w:szCs w:val="24"/>
        </w:rPr>
        <w:t>（十三）</w:t>
      </w:r>
      <w:r>
        <w:rPr>
          <w:rFonts w:ascii="宋体" w:hAnsi="宋体" w:cs="宋体"/>
          <w:szCs w:val="24"/>
        </w:rPr>
        <w:t>申报本条第（</w:t>
      </w:r>
      <w:r>
        <w:rPr>
          <w:rFonts w:hint="eastAsia" w:ascii="宋体" w:hAnsi="宋体" w:cs="宋体"/>
          <w:szCs w:val="24"/>
        </w:rPr>
        <w:t>一</w:t>
      </w:r>
      <w:r>
        <w:rPr>
          <w:rFonts w:ascii="宋体" w:hAnsi="宋体" w:cs="宋体"/>
          <w:szCs w:val="24"/>
        </w:rPr>
        <w:t>）款第</w:t>
      </w:r>
      <w:r>
        <w:rPr>
          <w:rFonts w:hint="eastAsia" w:ascii="宋体" w:hAnsi="宋体" w:cs="宋体"/>
          <w:szCs w:val="24"/>
        </w:rPr>
        <w:t>4</w:t>
      </w:r>
      <w:r>
        <w:rPr>
          <w:rFonts w:ascii="宋体" w:hAnsi="宋体" w:cs="宋体"/>
          <w:szCs w:val="24"/>
        </w:rPr>
        <w:t>项资助的，须先备案后申报</w:t>
      </w:r>
      <w:r>
        <w:rPr>
          <w:rFonts w:hint="eastAsia"/>
          <w:spacing w:val="8"/>
          <w:szCs w:val="24"/>
        </w:rPr>
        <w:t>（备案指南另行发布）</w:t>
      </w:r>
      <w:r>
        <w:rPr>
          <w:rFonts w:hint="eastAsia" w:ascii="宋体" w:hAnsi="宋体" w:cs="宋体"/>
          <w:szCs w:val="24"/>
        </w:rPr>
        <w:t>。</w:t>
      </w:r>
    </w:p>
    <w:p>
      <w:pPr>
        <w:ind w:firstLine="480"/>
        <w:rPr>
          <w:spacing w:val="8"/>
          <w:szCs w:val="24"/>
        </w:rPr>
      </w:pPr>
      <w:r>
        <w:rPr>
          <w:rFonts w:hint="eastAsia" w:ascii="宋体" w:hAnsi="宋体" w:cs="宋体"/>
          <w:szCs w:val="24"/>
        </w:rPr>
        <w:t>（十四）</w:t>
      </w:r>
      <w:r>
        <w:rPr>
          <w:rFonts w:ascii="宋体" w:hAnsi="宋体" w:cs="宋体"/>
          <w:szCs w:val="24"/>
        </w:rPr>
        <w:t>申报本条第（二）款第</w:t>
      </w:r>
      <w:r>
        <w:rPr>
          <w:rFonts w:hint="eastAsia" w:ascii="宋体" w:hAnsi="宋体" w:cs="宋体"/>
          <w:szCs w:val="24"/>
        </w:rPr>
        <w:t>3</w:t>
      </w:r>
      <w:r>
        <w:rPr>
          <w:rFonts w:ascii="宋体" w:hAnsi="宋体" w:cs="宋体"/>
          <w:szCs w:val="24"/>
        </w:rPr>
        <w:t>项资助的，须先备案后申报</w:t>
      </w:r>
      <w:r>
        <w:rPr>
          <w:rFonts w:hint="eastAsia"/>
          <w:spacing w:val="8"/>
          <w:szCs w:val="24"/>
        </w:rPr>
        <w:t>（备案指南另行发布）</w:t>
      </w:r>
      <w:r>
        <w:rPr>
          <w:rFonts w:hint="eastAsia" w:ascii="宋体" w:hAnsi="宋体" w:cs="宋体"/>
          <w:szCs w:val="24"/>
        </w:rPr>
        <w:t>。</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276"/>
        <w:gridCol w:w="5678"/>
        <w:gridCol w:w="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695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7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276"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678"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1.《支持专业服务业发展类—支持法律会计服务业集聚专项资助项目申报书》；</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7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vAlign w:val="center"/>
          </w:tcPr>
          <w:p>
            <w:pPr>
              <w:ind w:firstLine="0" w:firstLineChars="0"/>
              <w:jc w:val="center"/>
              <w:rPr>
                <w:szCs w:val="28"/>
              </w:rPr>
            </w:pPr>
          </w:p>
        </w:tc>
        <w:tc>
          <w:tcPr>
            <w:tcW w:w="5678"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2.营业执照复印件（三证合一新版）、律师事务所执业证书或会计师事务所执业许可证书（验原件，收复印件）；</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27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vAlign w:val="center"/>
          </w:tcPr>
          <w:p>
            <w:pPr>
              <w:ind w:firstLine="0" w:firstLineChars="0"/>
              <w:jc w:val="center"/>
              <w:rPr>
                <w:szCs w:val="28"/>
              </w:rPr>
            </w:pPr>
          </w:p>
        </w:tc>
        <w:tc>
          <w:tcPr>
            <w:tcW w:w="5678"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szCs w:val="28"/>
              </w:rPr>
            </w:pPr>
            <w:r>
              <w:rPr>
                <w:rFonts w:hint="eastAsia"/>
                <w:szCs w:val="28"/>
              </w:rPr>
              <w:t>3.法定代表人（负责人）身份证复印件和签字样本；</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7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678"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pacing w:val="8"/>
                <w:szCs w:val="24"/>
              </w:rPr>
              <w:t>4.2022年度纳税证明；</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71"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678"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271"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276"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申报本条第（一）款第1项资助的还需同时提供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rFonts w:hint="eastAsia"/>
                <w:spacing w:val="8"/>
                <w:szCs w:val="24"/>
              </w:rPr>
              <w:t>6.</w:t>
            </w:r>
            <w:r>
              <w:rPr>
                <w:szCs w:val="28"/>
              </w:rPr>
              <w:t>获评全国</w:t>
            </w:r>
            <w:r>
              <w:rPr>
                <w:rFonts w:hint="eastAsia"/>
                <w:szCs w:val="28"/>
              </w:rPr>
              <w:t>、广东省</w:t>
            </w:r>
            <w:r>
              <w:rPr>
                <w:szCs w:val="28"/>
              </w:rPr>
              <w:t>优秀律师事务所的</w:t>
            </w:r>
            <w:r>
              <w:rPr>
                <w:rFonts w:hint="eastAsia"/>
                <w:szCs w:val="28"/>
              </w:rPr>
              <w:t>相关</w:t>
            </w:r>
            <w:r>
              <w:rPr>
                <w:szCs w:val="28"/>
              </w:rPr>
              <w:t>证明材料；</w:t>
            </w:r>
            <w:r>
              <w:rPr>
                <w:rFonts w:hint="eastAsia"/>
                <w:szCs w:val="28"/>
              </w:rPr>
              <w:t>新设立分支机构申报的还需提供优秀事务所与分支机构的隶属关系证明</w:t>
            </w:r>
            <w:r>
              <w:rPr>
                <w:rFonts w:hint="eastAsia"/>
                <w:spacing w:val="8"/>
                <w:szCs w:val="24"/>
              </w:rPr>
              <w:t>；执业律师清单、执业律师的律师执业证书、律师事务所与执业律师签订的劳动合同；</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tcBorders>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276" w:type="dxa"/>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申报本条第（一）款第2项资助的还需同时提供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rFonts w:hint="eastAsia"/>
                <w:spacing w:val="8"/>
                <w:szCs w:val="24"/>
              </w:rPr>
              <w:t>7.</w:t>
            </w:r>
            <w:r>
              <w:rPr>
                <w:szCs w:val="28"/>
              </w:rPr>
              <w:t>获评全国</w:t>
            </w:r>
            <w:r>
              <w:rPr>
                <w:rFonts w:hint="eastAsia"/>
                <w:szCs w:val="28"/>
              </w:rPr>
              <w:t>、广东省</w:t>
            </w:r>
            <w:r>
              <w:rPr>
                <w:szCs w:val="28"/>
              </w:rPr>
              <w:t>百强会计师事务所的</w:t>
            </w:r>
            <w:r>
              <w:rPr>
                <w:rFonts w:hint="eastAsia"/>
                <w:szCs w:val="28"/>
              </w:rPr>
              <w:t>相关</w:t>
            </w:r>
            <w:r>
              <w:rPr>
                <w:szCs w:val="28"/>
              </w:rPr>
              <w:t>证明材料；</w:t>
            </w:r>
            <w:r>
              <w:rPr>
                <w:rFonts w:hint="eastAsia"/>
                <w:szCs w:val="28"/>
              </w:rPr>
              <w:t>新</w:t>
            </w:r>
            <w:r>
              <w:rPr>
                <w:rFonts w:hint="eastAsia"/>
                <w:spacing w:val="8"/>
                <w:szCs w:val="24"/>
              </w:rPr>
              <w:t>设立</w:t>
            </w:r>
            <w:r>
              <w:rPr>
                <w:rFonts w:hint="eastAsia"/>
                <w:szCs w:val="28"/>
              </w:rPr>
              <w:t>分支机构申报的还需提供百强事务所与分支机构的隶属关系证明</w:t>
            </w:r>
            <w:r>
              <w:rPr>
                <w:spacing w:val="8"/>
                <w:szCs w:val="24"/>
              </w:rPr>
              <w:t>；</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tcBorders>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1276" w:type="dxa"/>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申报本条第（一）款第3项资助的还需同时提供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rFonts w:hint="eastAsia"/>
                <w:spacing w:val="8"/>
                <w:szCs w:val="24"/>
              </w:rPr>
              <w:t>8.联营律师事务所执业许可证、社保清单、个人所得税纳税清单；</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tcBorders>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（五）</w:t>
            </w:r>
          </w:p>
        </w:tc>
        <w:tc>
          <w:tcPr>
            <w:tcW w:w="1276" w:type="dxa"/>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申报本条第（一）款第4项资助的还需同时提供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9.区司法局备案证明；</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tcBorders>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（六）</w:t>
            </w:r>
          </w:p>
        </w:tc>
        <w:tc>
          <w:tcPr>
            <w:tcW w:w="1276" w:type="dxa"/>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申报本条第（一）款第5项资助的还需同时提供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10.</w:t>
            </w:r>
            <w:r>
              <w:rPr>
                <w:rFonts w:hint="eastAsia"/>
                <w:szCs w:val="28"/>
              </w:rPr>
              <w:t>2022年12月份增值税申报表主表，2022年度企业所得税申报表主表；</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vMerge w:val="restart"/>
            <w:tcBorders>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（七）</w:t>
            </w:r>
          </w:p>
        </w:tc>
        <w:tc>
          <w:tcPr>
            <w:tcW w:w="1276" w:type="dxa"/>
            <w:vMerge w:val="restart"/>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申报本条第（二）款第1项资助的还需同时提供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spacing w:val="8"/>
                <w:szCs w:val="24"/>
              </w:rPr>
              <w:t>1</w:t>
            </w:r>
            <w:r>
              <w:rPr>
                <w:rFonts w:hint="eastAsia"/>
                <w:spacing w:val="8"/>
                <w:szCs w:val="24"/>
              </w:rPr>
              <w:t>1.</w:t>
            </w:r>
            <w:r>
              <w:rPr>
                <w:spacing w:val="8"/>
                <w:szCs w:val="24"/>
              </w:rPr>
              <w:t>获得全国优秀律师事务所、广东省优秀律师事务所</w:t>
            </w:r>
            <w:r>
              <w:rPr>
                <w:rFonts w:hint="eastAsia"/>
                <w:spacing w:val="8"/>
                <w:szCs w:val="24"/>
              </w:rPr>
              <w:t>、</w:t>
            </w:r>
            <w:r>
              <w:rPr>
                <w:rFonts w:hint="eastAsia"/>
              </w:rPr>
              <w:t>全国百强会计师事务所、广东省百强会计师事务所</w:t>
            </w:r>
            <w:r>
              <w:rPr>
                <w:spacing w:val="8"/>
                <w:szCs w:val="24"/>
              </w:rPr>
              <w:t>评定的相关证明材料（验原件</w:t>
            </w:r>
            <w:r>
              <w:rPr>
                <w:rFonts w:hint="eastAsia"/>
                <w:spacing w:val="8"/>
                <w:szCs w:val="24"/>
              </w:rPr>
              <w:t>，</w:t>
            </w:r>
            <w:r>
              <w:rPr>
                <w:spacing w:val="8"/>
                <w:szCs w:val="24"/>
              </w:rPr>
              <w:t>收复印件）</w:t>
            </w:r>
            <w:r>
              <w:rPr>
                <w:rFonts w:hint="eastAsia"/>
                <w:spacing w:val="8"/>
                <w:szCs w:val="24"/>
              </w:rPr>
              <w:t>；</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vAlign w:val="center"/>
          </w:tcPr>
          <w:p>
            <w:pPr>
              <w:ind w:firstLine="0" w:firstLineChars="0"/>
              <w:jc w:val="center"/>
              <w:rPr>
                <w:szCs w:val="28"/>
              </w:rPr>
            </w:pP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12</w:t>
            </w:r>
            <w:r>
              <w:rPr>
                <w:spacing w:val="8"/>
                <w:szCs w:val="24"/>
              </w:rPr>
              <w:t>.</w:t>
            </w:r>
            <w:r>
              <w:rPr>
                <w:rFonts w:hint="eastAsia"/>
                <w:spacing w:val="8"/>
                <w:szCs w:val="24"/>
              </w:rPr>
              <w:t>租赁合同、街道等政府部门或有关单位出具的租赁凭证或场所使用证明；2022年度租金</w:t>
            </w:r>
            <w:r>
              <w:rPr>
                <w:spacing w:val="8"/>
                <w:szCs w:val="24"/>
              </w:rPr>
              <w:t>发票和</w:t>
            </w:r>
            <w:r>
              <w:rPr>
                <w:rFonts w:hint="eastAsia"/>
                <w:spacing w:val="8"/>
                <w:szCs w:val="24"/>
              </w:rPr>
              <w:t>支付凭证</w:t>
            </w:r>
            <w:r>
              <w:rPr>
                <w:spacing w:val="8"/>
                <w:szCs w:val="24"/>
              </w:rPr>
              <w:t>（验原件</w:t>
            </w:r>
            <w:r>
              <w:rPr>
                <w:rFonts w:hint="eastAsia"/>
                <w:spacing w:val="8"/>
                <w:szCs w:val="24"/>
              </w:rPr>
              <w:t>，</w:t>
            </w:r>
            <w:r>
              <w:rPr>
                <w:spacing w:val="8"/>
                <w:szCs w:val="24"/>
              </w:rPr>
              <w:t>收复印件）</w:t>
            </w:r>
            <w:r>
              <w:rPr>
                <w:rFonts w:hint="eastAsia"/>
                <w:spacing w:val="8"/>
                <w:szCs w:val="24"/>
              </w:rPr>
              <w:t>；</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vMerge w:val="restart"/>
            <w:tcBorders>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（八）</w:t>
            </w:r>
          </w:p>
        </w:tc>
        <w:tc>
          <w:tcPr>
            <w:tcW w:w="1276" w:type="dxa"/>
            <w:vMerge w:val="restart"/>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申报本条第（二）款第2项资助的还需同时提供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13.申报</w:t>
            </w:r>
            <w:r>
              <w:t>律师事务所</w:t>
            </w:r>
            <w:r>
              <w:rPr>
                <w:rFonts w:hint="eastAsia"/>
              </w:rPr>
              <w:t>租房补贴的，提供</w:t>
            </w:r>
            <w:r>
              <w:rPr>
                <w:rFonts w:hint="eastAsia"/>
                <w:spacing w:val="8"/>
                <w:szCs w:val="24"/>
              </w:rPr>
              <w:t>执业</w:t>
            </w:r>
            <w:r>
              <w:rPr>
                <w:spacing w:val="8"/>
                <w:szCs w:val="24"/>
              </w:rPr>
              <w:t>律师清单</w:t>
            </w:r>
            <w:r>
              <w:rPr>
                <w:rFonts w:hint="eastAsia"/>
                <w:spacing w:val="8"/>
                <w:szCs w:val="24"/>
              </w:rPr>
              <w:t>；执</w:t>
            </w:r>
            <w:r>
              <w:rPr>
                <w:spacing w:val="8"/>
                <w:szCs w:val="24"/>
              </w:rPr>
              <w:t>业律师的律师执业证书、</w:t>
            </w:r>
            <w:r>
              <w:rPr>
                <w:rFonts w:hint="eastAsia"/>
                <w:spacing w:val="8"/>
                <w:szCs w:val="24"/>
              </w:rPr>
              <w:t>事务所与执业律师签订的劳动合同；租赁合同、街道等政府部门或有关单位出具的租赁凭证或场所使用证明</w:t>
            </w:r>
            <w:r>
              <w:rPr>
                <w:rFonts w:hint="eastAsia"/>
                <w:szCs w:val="28"/>
              </w:rPr>
              <w:t>；</w:t>
            </w:r>
            <w:r>
              <w:rPr>
                <w:rFonts w:hint="eastAsia"/>
                <w:spacing w:val="8"/>
                <w:szCs w:val="24"/>
              </w:rPr>
              <w:t>2022年度租金</w:t>
            </w:r>
            <w:r>
              <w:rPr>
                <w:spacing w:val="8"/>
                <w:szCs w:val="24"/>
              </w:rPr>
              <w:t>发票和</w:t>
            </w:r>
            <w:r>
              <w:rPr>
                <w:rFonts w:hint="eastAsia"/>
                <w:spacing w:val="8"/>
                <w:szCs w:val="24"/>
              </w:rPr>
              <w:t>支付凭证</w:t>
            </w:r>
            <w:r>
              <w:rPr>
                <w:spacing w:val="8"/>
                <w:szCs w:val="24"/>
              </w:rPr>
              <w:t>（验原件</w:t>
            </w:r>
            <w:r>
              <w:rPr>
                <w:rFonts w:hint="eastAsia"/>
                <w:spacing w:val="8"/>
                <w:szCs w:val="24"/>
              </w:rPr>
              <w:t>，</w:t>
            </w:r>
            <w:r>
              <w:rPr>
                <w:spacing w:val="8"/>
                <w:szCs w:val="24"/>
              </w:rPr>
              <w:t>收复印件）</w:t>
            </w:r>
            <w:r>
              <w:rPr>
                <w:rFonts w:hint="eastAsia"/>
                <w:szCs w:val="28"/>
              </w:rPr>
              <w:t>；租赁用房信息明细表（格式参见第六部分《租赁用房信息明细表》）；</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vAlign w:val="center"/>
          </w:tcPr>
          <w:p>
            <w:pPr>
              <w:ind w:firstLine="0" w:firstLineChars="0"/>
              <w:jc w:val="center"/>
              <w:rPr>
                <w:szCs w:val="28"/>
              </w:rPr>
            </w:pP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14</w:t>
            </w:r>
            <w:r>
              <w:rPr>
                <w:spacing w:val="8"/>
                <w:szCs w:val="24"/>
              </w:rPr>
              <w:t>.</w:t>
            </w:r>
            <w:r>
              <w:rPr>
                <w:rFonts w:hint="eastAsia"/>
                <w:spacing w:val="8"/>
                <w:szCs w:val="24"/>
              </w:rPr>
              <w:t>申报</w:t>
            </w:r>
            <w:r>
              <w:rPr>
                <w:rFonts w:hint="eastAsia"/>
              </w:rPr>
              <w:t>会计</w:t>
            </w:r>
            <w:r>
              <w:rPr>
                <w:rFonts w:hint="eastAsia"/>
                <w:lang w:val="en-US" w:eastAsia="zh-CN"/>
              </w:rPr>
              <w:t>师</w:t>
            </w:r>
            <w:r>
              <w:t>事务所</w:t>
            </w:r>
            <w:r>
              <w:rPr>
                <w:rFonts w:hint="eastAsia"/>
              </w:rPr>
              <w:t>租房补贴的，提供</w:t>
            </w:r>
            <w:r>
              <w:rPr>
                <w:rFonts w:hint="eastAsia"/>
                <w:spacing w:val="8"/>
                <w:szCs w:val="24"/>
              </w:rPr>
              <w:t>执业注册会计师</w:t>
            </w:r>
            <w:r>
              <w:rPr>
                <w:spacing w:val="8"/>
                <w:szCs w:val="24"/>
              </w:rPr>
              <w:t>清单</w:t>
            </w:r>
            <w:r>
              <w:rPr>
                <w:rFonts w:hint="eastAsia"/>
                <w:spacing w:val="8"/>
                <w:szCs w:val="24"/>
              </w:rPr>
              <w:t>；执</w:t>
            </w:r>
            <w:r>
              <w:rPr>
                <w:spacing w:val="8"/>
                <w:szCs w:val="24"/>
              </w:rPr>
              <w:t>业</w:t>
            </w:r>
            <w:r>
              <w:rPr>
                <w:rFonts w:hint="eastAsia"/>
                <w:spacing w:val="8"/>
                <w:szCs w:val="24"/>
              </w:rPr>
              <w:t>注册</w:t>
            </w:r>
            <w:r>
              <w:rPr>
                <w:rFonts w:hint="eastAsia"/>
              </w:rPr>
              <w:t>会计师</w:t>
            </w:r>
            <w:r>
              <w:rPr>
                <w:spacing w:val="8"/>
                <w:szCs w:val="24"/>
              </w:rPr>
              <w:t>证书、</w:t>
            </w:r>
            <w:r>
              <w:rPr>
                <w:rFonts w:hint="eastAsia"/>
                <w:spacing w:val="8"/>
                <w:szCs w:val="24"/>
              </w:rPr>
              <w:t>事务所与执业会计师签订的劳动合同；租赁合同、街道等政府部门或有关单位出具的租赁凭证或场所使用证明</w:t>
            </w:r>
            <w:r>
              <w:rPr>
                <w:rFonts w:hint="eastAsia"/>
              </w:rPr>
              <w:t>；房屋租赁合同、2022年度租金发票和支付凭证（验原件，收复印件）；租赁用房信息明细表（格式参见第六部分《租赁用房信息明细表》）；</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271" w:type="dxa"/>
            <w:vMerge w:val="restart"/>
            <w:tcBorders>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（九）</w:t>
            </w:r>
          </w:p>
        </w:tc>
        <w:tc>
          <w:tcPr>
            <w:tcW w:w="1276" w:type="dxa"/>
            <w:vMerge w:val="restart"/>
            <w:tcBorders>
              <w:left w:val="single" w:color="auto" w:sz="4" w:space="0"/>
              <w:right w:val="single" w:color="auto" w:sz="4" w:space="0"/>
            </w:tcBorders>
            <w:vAlign w:val="center"/>
          </w:tcPr>
          <w:p>
            <w:pPr>
              <w:ind w:firstLine="0" w:firstLineChars="0"/>
              <w:jc w:val="center"/>
              <w:rPr>
                <w:szCs w:val="28"/>
              </w:rPr>
            </w:pPr>
            <w:r>
              <w:rPr>
                <w:rFonts w:hint="eastAsia"/>
                <w:szCs w:val="28"/>
              </w:rPr>
              <w:t>申报本条第（二）款第3项资助的还需同时提供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15.区司法局备案证明；</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271"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276"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16.租赁合同、街道等政府部门或有关单位出具的租赁凭证或场所使用证明；2022年度租金</w:t>
            </w:r>
            <w:r>
              <w:rPr>
                <w:spacing w:val="8"/>
                <w:szCs w:val="24"/>
              </w:rPr>
              <w:t>发票和</w:t>
            </w:r>
            <w:r>
              <w:rPr>
                <w:rFonts w:hint="eastAsia"/>
                <w:spacing w:val="8"/>
                <w:szCs w:val="24"/>
              </w:rPr>
              <w:t>支付凭证</w:t>
            </w:r>
            <w:r>
              <w:rPr>
                <w:spacing w:val="8"/>
                <w:szCs w:val="24"/>
              </w:rPr>
              <w:t>（验原件</w:t>
            </w:r>
            <w:r>
              <w:rPr>
                <w:rFonts w:hint="eastAsia"/>
                <w:spacing w:val="8"/>
                <w:szCs w:val="24"/>
              </w:rPr>
              <w:t>，</w:t>
            </w:r>
            <w:r>
              <w:rPr>
                <w:spacing w:val="8"/>
                <w:szCs w:val="24"/>
              </w:rPr>
              <w:t>收复印件）</w:t>
            </w:r>
            <w:r>
              <w:rPr>
                <w:rFonts w:hint="eastAsia"/>
                <w:spacing w:val="8"/>
                <w:szCs w:val="24"/>
              </w:rPr>
              <w:t>；</w:t>
            </w:r>
            <w:r>
              <w:rPr>
                <w:rFonts w:hint="eastAsia"/>
                <w:szCs w:val="28"/>
              </w:rPr>
              <w:t>租赁用房信息明细表（格式参见第六部分《租赁用房信息明细表》）；</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271"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（十）</w:t>
            </w:r>
          </w:p>
        </w:tc>
        <w:tc>
          <w:tcPr>
            <w:tcW w:w="1276"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申报本条第（三）款资助的还需同时提供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307" w:hanging="307" w:hangingChars="120"/>
              <w:rPr>
                <w:spacing w:val="8"/>
                <w:szCs w:val="24"/>
              </w:rPr>
            </w:pPr>
            <w:r>
              <w:rPr>
                <w:rFonts w:hint="eastAsia"/>
                <w:spacing w:val="8"/>
                <w:szCs w:val="24"/>
              </w:rPr>
              <w:t>17.执业人才的专业资格证书、身份证、学历证书、与服务业</w:t>
            </w:r>
            <w:r>
              <w:rPr>
                <w:rFonts w:hint="eastAsia"/>
              </w:rPr>
              <w:t>机构</w:t>
            </w:r>
            <w:r>
              <w:rPr>
                <w:rFonts w:hint="eastAsia"/>
                <w:spacing w:val="8"/>
                <w:szCs w:val="24"/>
              </w:rPr>
              <w:t>签订的劳动合同（验原件，收复印件）；社保证明；获资助个人银行账户信息</w:t>
            </w:r>
            <w:r>
              <w:rPr>
                <w:rFonts w:hint="eastAsia"/>
              </w:rPr>
              <w:t>（格式参见第六部分《法律会计机构人才信息汇总表》）</w:t>
            </w:r>
            <w:r>
              <w:rPr>
                <w:rFonts w:hint="eastAsia"/>
                <w:spacing w:val="8"/>
                <w:szCs w:val="24"/>
              </w:rPr>
              <w:t>；</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271"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（十一）</w:t>
            </w:r>
          </w:p>
        </w:tc>
        <w:tc>
          <w:tcPr>
            <w:tcW w:w="1276"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申报本条第（四）款资助的还需同时提供</w:t>
            </w:r>
          </w:p>
        </w:tc>
        <w:tc>
          <w:tcPr>
            <w:tcW w:w="5678" w:type="dxa"/>
            <w:tcBorders>
              <w:top w:val="single" w:color="auto" w:sz="4" w:space="0"/>
              <w:left w:val="single" w:color="auto" w:sz="4" w:space="0"/>
              <w:bottom w:val="single" w:color="auto" w:sz="4" w:space="0"/>
              <w:right w:val="single" w:color="auto" w:sz="4" w:space="0"/>
            </w:tcBorders>
            <w:vAlign w:val="center"/>
          </w:tcPr>
          <w:p>
            <w:pPr>
              <w:ind w:left="288" w:hanging="288" w:hangingChars="120"/>
              <w:rPr>
                <w:spacing w:val="8"/>
                <w:szCs w:val="24"/>
              </w:rPr>
            </w:pPr>
            <w:r>
              <w:rPr>
                <w:rFonts w:hint="eastAsia"/>
                <w:szCs w:val="28"/>
              </w:rPr>
              <w:t>18.香港或澳门法律执业资质证明、内地执业资质证明、与坪山区专业服务业机构签订的劳动合同（验原件，收复印件）；社保证明；</w:t>
            </w:r>
            <w:r>
              <w:rPr>
                <w:rFonts w:hint="eastAsia"/>
                <w:spacing w:val="8"/>
                <w:szCs w:val="24"/>
              </w:rPr>
              <w:t>获资助个人银行账户信息；</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（十二）</w:t>
            </w:r>
          </w:p>
        </w:tc>
        <w:tc>
          <w:tcPr>
            <w:tcW w:w="695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73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480"/>
              <w:rPr>
                <w:rFonts w:ascii="宋体" w:hAnsi="宋体"/>
                <w:szCs w:val="24"/>
              </w:rPr>
            </w:pPr>
          </w:p>
          <w:p>
            <w:pPr>
              <w:ind w:firstLine="0" w:firstLineChars="0"/>
              <w:jc w:val="left"/>
              <w:rPr>
                <w:rFonts w:ascii="宋体" w:hAnsi="宋体"/>
                <w:szCs w:val="24"/>
              </w:rPr>
            </w:pPr>
          </w:p>
        </w:tc>
      </w:tr>
    </w:tbl>
    <w:p>
      <w:pPr>
        <w:ind w:firstLine="480"/>
      </w:pPr>
      <w:bookmarkStart w:id="150" w:name="_Toc1643604216"/>
      <w:bookmarkStart w:id="151" w:name="_Toc1840350136"/>
      <w:bookmarkStart w:id="152" w:name="_Toc111722306"/>
      <w:bookmarkStart w:id="153" w:name="_Toc74931562"/>
      <w:bookmarkStart w:id="154" w:name="_Toc3137"/>
      <w:bookmarkStart w:id="155" w:name="_Toc1961842557"/>
      <w:r>
        <w:rPr>
          <w:rFonts w:hint="eastAsia"/>
        </w:rPr>
        <w:br w:type="page"/>
      </w:r>
    </w:p>
    <w:bookmarkEnd w:id="150"/>
    <w:bookmarkEnd w:id="151"/>
    <w:bookmarkEnd w:id="152"/>
    <w:bookmarkEnd w:id="153"/>
    <w:bookmarkEnd w:id="154"/>
    <w:bookmarkEnd w:id="155"/>
    <w:p>
      <w:pPr>
        <w:pStyle w:val="28"/>
        <w:spacing w:before="312" w:line="360" w:lineRule="auto"/>
        <w:outlineLvl w:val="2"/>
        <w:rPr>
          <w:bCs/>
        </w:rPr>
      </w:pPr>
      <w:bookmarkStart w:id="156" w:name="_Toc130905476"/>
      <w:bookmarkStart w:id="157" w:name="_Toc138949345"/>
      <w:bookmarkStart w:id="158" w:name="_Toc1764484601"/>
      <w:bookmarkStart w:id="159" w:name="_Toc23381"/>
      <w:bookmarkStart w:id="160" w:name="_Toc74931563"/>
      <w:bookmarkStart w:id="161" w:name="_Toc1712606503"/>
      <w:bookmarkStart w:id="162" w:name="_Toc1239941596"/>
      <w:bookmarkStart w:id="163" w:name="_Toc665420756"/>
      <w:r>
        <w:rPr>
          <w:rFonts w:hint="eastAsia"/>
        </w:rPr>
        <w:t>第十节 支持法律服务实体经济专项资助</w:t>
      </w:r>
      <w:bookmarkEnd w:id="156"/>
      <w:bookmarkEnd w:id="157"/>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鼓励坪山区法律服务机构面向坪山区企业提供普法、商事调解、人民调解或“法治体检”等公益法律服务。对上年度开展普法宣传20次以上，或帮助企业化解矛盾纠纷、挽回损失或者获得重大利益累计500万元以上，或开展“法治体检”20家次以上的法律服务机构，经区司法局备案，给予5万元奖励。本条款年度奖励总额不超过50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p>
    <w:p>
      <w:pPr>
        <w:ind w:firstLine="512"/>
        <w:rPr>
          <w:spacing w:val="8"/>
          <w:szCs w:val="24"/>
        </w:rPr>
      </w:pPr>
      <w:r>
        <w:rPr>
          <w:rFonts w:hint="eastAsia"/>
          <w:spacing w:val="8"/>
          <w:szCs w:val="24"/>
        </w:rPr>
        <w:t>（二）申报本条政策资助的个人需满足以下基本条件：</w:t>
      </w:r>
    </w:p>
    <w:p>
      <w:pPr>
        <w:ind w:firstLine="512"/>
        <w:rPr>
          <w:spacing w:val="8"/>
          <w:szCs w:val="24"/>
        </w:rPr>
      </w:pPr>
      <w:r>
        <w:rPr>
          <w:rFonts w:hint="eastAsia"/>
          <w:spacing w:val="8"/>
          <w:szCs w:val="24"/>
        </w:rPr>
        <w:t>1.遵纪守法，近三年无犯罪记录；</w:t>
      </w:r>
    </w:p>
    <w:p>
      <w:pPr>
        <w:ind w:firstLine="512"/>
        <w:rPr>
          <w:spacing w:val="8"/>
          <w:szCs w:val="24"/>
        </w:rPr>
      </w:pPr>
      <w:r>
        <w:rPr>
          <w:rFonts w:hint="eastAsia"/>
          <w:spacing w:val="8"/>
          <w:szCs w:val="24"/>
        </w:rPr>
        <w:t>2.至申报时仍满足专项资金政策的要求。</w:t>
      </w:r>
    </w:p>
    <w:p>
      <w:pPr>
        <w:ind w:firstLine="480"/>
        <w:rPr>
          <w:spacing w:val="8"/>
          <w:szCs w:val="24"/>
        </w:rPr>
      </w:pPr>
      <w:r>
        <w:rPr>
          <w:rFonts w:hint="eastAsia"/>
        </w:rPr>
        <w:t>（三）</w:t>
      </w:r>
      <w:r>
        <w:rPr>
          <w:rFonts w:hint="eastAsia"/>
          <w:spacing w:val="8"/>
          <w:szCs w:val="24"/>
        </w:rPr>
        <w:t>申报本条资助的，可不受上年度区级财力贡献限制。</w:t>
      </w:r>
    </w:p>
    <w:p>
      <w:pPr>
        <w:ind w:firstLine="512"/>
        <w:rPr>
          <w:spacing w:val="8"/>
          <w:szCs w:val="24"/>
        </w:rPr>
      </w:pPr>
      <w:r>
        <w:rPr>
          <w:rFonts w:hint="eastAsia"/>
          <w:spacing w:val="8"/>
          <w:szCs w:val="24"/>
        </w:rPr>
        <w:t>（四）有下列情况之一的，本条政策不予资助：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（五）申报本条资助的，须先备案后申报（备案指南另行发布）。</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5433"/>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rFonts w:ascii="宋体" w:hAnsi="宋体"/>
                <w:szCs w:val="24"/>
              </w:rPr>
            </w:pPr>
            <w:r>
              <w:rPr>
                <w:rFonts w:hint="eastAsia" w:ascii="宋体" w:hAnsi="宋体"/>
                <w:szCs w:val="24"/>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adjustRightInd w:val="0"/>
              <w:snapToGrid w:val="0"/>
              <w:ind w:firstLine="0" w:firstLineChars="0"/>
              <w:jc w:val="center"/>
              <w:rPr>
                <w:rFonts w:ascii="宋体" w:hAnsi="宋体"/>
                <w:szCs w:val="24"/>
              </w:rPr>
            </w:pPr>
            <w:r>
              <w:rPr>
                <w:rFonts w:hint="eastAsia" w:ascii="宋体" w:hAnsi="宋体"/>
                <w:szCs w:val="24"/>
              </w:rPr>
              <w:t>（一）</w:t>
            </w:r>
          </w:p>
        </w:tc>
        <w:tc>
          <w:tcPr>
            <w:tcW w:w="1701" w:type="dxa"/>
            <w:vMerge w:val="restart"/>
            <w:tcBorders>
              <w:top w:val="single" w:color="auto" w:sz="4" w:space="0"/>
              <w:left w:val="single" w:color="auto" w:sz="4" w:space="0"/>
              <w:right w:val="single" w:color="auto" w:sz="4" w:space="0"/>
            </w:tcBorders>
            <w:vAlign w:val="center"/>
          </w:tcPr>
          <w:p>
            <w:pPr>
              <w:snapToGrid w:val="0"/>
              <w:ind w:firstLine="0" w:firstLineChars="0"/>
              <w:jc w:val="center"/>
              <w:rPr>
                <w:szCs w:val="28"/>
              </w:rPr>
            </w:pPr>
            <w:r>
              <w:rPr>
                <w:rFonts w:hint="eastAsia"/>
                <w:szCs w:val="28"/>
              </w:rPr>
              <w:t>基础材料</w:t>
            </w:r>
          </w:p>
        </w:tc>
        <w:tc>
          <w:tcPr>
            <w:tcW w:w="5433" w:type="dxa"/>
            <w:tcBorders>
              <w:top w:val="single" w:color="auto" w:sz="4" w:space="0"/>
              <w:left w:val="single" w:color="auto" w:sz="4" w:space="0"/>
              <w:bottom w:val="single" w:color="auto" w:sz="4" w:space="0"/>
              <w:right w:val="single" w:color="auto" w:sz="4" w:space="0"/>
            </w:tcBorders>
            <w:vAlign w:val="center"/>
          </w:tcPr>
          <w:p>
            <w:pPr>
              <w:snapToGrid w:val="0"/>
              <w:spacing w:line="336" w:lineRule="auto"/>
              <w:ind w:left="240" w:hanging="240" w:hangingChars="100"/>
              <w:rPr>
                <w:szCs w:val="28"/>
              </w:rPr>
            </w:pPr>
            <w:r>
              <w:rPr>
                <w:rFonts w:hint="eastAsia"/>
                <w:szCs w:val="28"/>
              </w:rPr>
              <w:t>1.《支持专业服务业发展类—支持法律服务实体经济专项资助项目申报书》；</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adjustRightInd w:val="0"/>
              <w:snapToGrid w:val="0"/>
              <w:ind w:firstLine="0" w:firstLineChars="0"/>
              <w:jc w:val="center"/>
              <w:rPr>
                <w:rFonts w:ascii="宋体" w:hAnsi="宋体"/>
                <w:szCs w:val="24"/>
              </w:rPr>
            </w:pPr>
          </w:p>
        </w:tc>
        <w:tc>
          <w:tcPr>
            <w:tcW w:w="1701" w:type="dxa"/>
            <w:vMerge w:val="continue"/>
            <w:tcBorders>
              <w:left w:val="single" w:color="auto" w:sz="4" w:space="0"/>
              <w:right w:val="single" w:color="auto" w:sz="4" w:space="0"/>
            </w:tcBorders>
            <w:vAlign w:val="center"/>
          </w:tcPr>
          <w:p>
            <w:pPr>
              <w:snapToGrid w:val="0"/>
              <w:ind w:firstLine="0" w:firstLineChars="0"/>
              <w:jc w:val="center"/>
              <w:rPr>
                <w:szCs w:val="28"/>
              </w:rPr>
            </w:pPr>
          </w:p>
        </w:tc>
        <w:tc>
          <w:tcPr>
            <w:tcW w:w="5433" w:type="dxa"/>
            <w:tcBorders>
              <w:top w:val="single" w:color="auto" w:sz="4" w:space="0"/>
              <w:left w:val="single" w:color="auto" w:sz="4" w:space="0"/>
              <w:bottom w:val="single" w:color="auto" w:sz="4" w:space="0"/>
              <w:right w:val="single" w:color="auto" w:sz="4" w:space="0"/>
            </w:tcBorders>
            <w:vAlign w:val="center"/>
          </w:tcPr>
          <w:p>
            <w:pPr>
              <w:snapToGrid w:val="0"/>
              <w:spacing w:line="336" w:lineRule="auto"/>
              <w:ind w:left="240" w:hanging="240" w:hangingChars="100"/>
              <w:rPr>
                <w:szCs w:val="28"/>
              </w:rPr>
            </w:pPr>
            <w:r>
              <w:rPr>
                <w:rFonts w:hint="eastAsia"/>
                <w:szCs w:val="28"/>
              </w:rPr>
              <w:t>2.营业执照复印件（三证合一新版）、律师事务所执业证书（验原件，收复印件）；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988" w:type="dxa"/>
            <w:vMerge w:val="continue"/>
            <w:tcBorders>
              <w:left w:val="single" w:color="auto" w:sz="4" w:space="0"/>
              <w:right w:val="single" w:color="auto" w:sz="4" w:space="0"/>
            </w:tcBorders>
            <w:vAlign w:val="center"/>
          </w:tcPr>
          <w:p>
            <w:pPr>
              <w:adjustRightInd w:val="0"/>
              <w:snapToGrid w:val="0"/>
              <w:ind w:firstLine="0" w:firstLineChars="0"/>
              <w:jc w:val="center"/>
              <w:rPr>
                <w:rFonts w:ascii="宋体" w:hAnsi="宋体"/>
                <w:szCs w:val="24"/>
              </w:rPr>
            </w:pPr>
          </w:p>
        </w:tc>
        <w:tc>
          <w:tcPr>
            <w:tcW w:w="1701" w:type="dxa"/>
            <w:vMerge w:val="continue"/>
            <w:tcBorders>
              <w:left w:val="single" w:color="auto" w:sz="4" w:space="0"/>
              <w:right w:val="single" w:color="auto" w:sz="4" w:space="0"/>
            </w:tcBorders>
            <w:vAlign w:val="center"/>
          </w:tcPr>
          <w:p>
            <w:pPr>
              <w:snapToGrid w:val="0"/>
              <w:ind w:firstLine="0" w:firstLineChars="0"/>
              <w:jc w:val="center"/>
              <w:rPr>
                <w:szCs w:val="28"/>
              </w:rPr>
            </w:pPr>
          </w:p>
        </w:tc>
        <w:tc>
          <w:tcPr>
            <w:tcW w:w="5433" w:type="dxa"/>
            <w:tcBorders>
              <w:top w:val="single" w:color="auto" w:sz="4" w:space="0"/>
              <w:left w:val="single" w:color="auto" w:sz="4" w:space="0"/>
              <w:bottom w:val="single" w:color="auto" w:sz="4" w:space="0"/>
              <w:right w:val="single" w:color="auto" w:sz="4" w:space="0"/>
            </w:tcBorders>
            <w:vAlign w:val="center"/>
          </w:tcPr>
          <w:p>
            <w:pPr>
              <w:snapToGrid w:val="0"/>
              <w:spacing w:line="336" w:lineRule="auto"/>
              <w:ind w:left="240" w:hanging="240" w:hangingChars="100"/>
              <w:rPr>
                <w:szCs w:val="28"/>
              </w:rPr>
            </w:pPr>
            <w:r>
              <w:rPr>
                <w:rFonts w:hint="eastAsia"/>
                <w:szCs w:val="28"/>
              </w:rPr>
              <w:t>3.法定代表人（负责人）身份证复印件和签字样本；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adjustRightInd w:val="0"/>
              <w:snapToGrid w:val="0"/>
              <w:ind w:firstLine="0" w:firstLineChars="0"/>
              <w:jc w:val="center"/>
              <w:rPr>
                <w:rFonts w:ascii="宋体" w:hAnsi="宋体"/>
                <w:szCs w:val="24"/>
              </w:rPr>
            </w:pPr>
          </w:p>
        </w:tc>
        <w:tc>
          <w:tcPr>
            <w:tcW w:w="1701" w:type="dxa"/>
            <w:vMerge w:val="continue"/>
            <w:tcBorders>
              <w:left w:val="single" w:color="auto" w:sz="4" w:space="0"/>
              <w:bottom w:val="single" w:color="auto" w:sz="4" w:space="0"/>
              <w:right w:val="single" w:color="auto" w:sz="4" w:space="0"/>
            </w:tcBorders>
            <w:vAlign w:val="center"/>
          </w:tcPr>
          <w:p>
            <w:pPr>
              <w:snapToGrid w:val="0"/>
              <w:ind w:firstLine="0" w:firstLineChars="0"/>
              <w:jc w:val="center"/>
              <w:rPr>
                <w:szCs w:val="28"/>
              </w:rPr>
            </w:pPr>
          </w:p>
        </w:tc>
        <w:tc>
          <w:tcPr>
            <w:tcW w:w="5433" w:type="dxa"/>
            <w:tcBorders>
              <w:top w:val="single" w:color="auto" w:sz="4" w:space="0"/>
              <w:left w:val="single" w:color="auto" w:sz="4" w:space="0"/>
              <w:bottom w:val="single" w:color="auto" w:sz="4" w:space="0"/>
              <w:right w:val="single" w:color="auto" w:sz="4" w:space="0"/>
            </w:tcBorders>
            <w:vAlign w:val="center"/>
          </w:tcPr>
          <w:p>
            <w:pPr>
              <w:snapToGrid w:val="0"/>
              <w:spacing w:line="336" w:lineRule="auto"/>
              <w:ind w:firstLine="0" w:firstLineChars="0"/>
              <w:rPr>
                <w:szCs w:val="28"/>
              </w:rPr>
            </w:pPr>
            <w:r>
              <w:rPr>
                <w:rFonts w:hint="eastAsia"/>
                <w:spacing w:val="8"/>
                <w:szCs w:val="24"/>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vMerge w:val="continue"/>
            <w:tcBorders>
              <w:left w:val="single" w:color="auto" w:sz="4" w:space="0"/>
              <w:bottom w:val="single" w:color="auto" w:sz="4" w:space="0"/>
              <w:right w:val="single" w:color="auto" w:sz="4" w:space="0"/>
            </w:tcBorders>
            <w:vAlign w:val="center"/>
          </w:tcPr>
          <w:p>
            <w:pPr>
              <w:adjustRightInd w:val="0"/>
              <w:snapToGrid w:val="0"/>
              <w:ind w:firstLine="0" w:firstLineChars="0"/>
              <w:jc w:val="center"/>
              <w:rPr>
                <w:rFonts w:ascii="宋体" w:hAnsi="宋体"/>
                <w:szCs w:val="24"/>
              </w:rPr>
            </w:pPr>
          </w:p>
        </w:tc>
        <w:tc>
          <w:tcPr>
            <w:tcW w:w="1701" w:type="dxa"/>
            <w:vMerge w:val="continue"/>
            <w:tcBorders>
              <w:left w:val="single" w:color="auto" w:sz="4" w:space="0"/>
              <w:bottom w:val="single" w:color="auto" w:sz="4" w:space="0"/>
              <w:right w:val="single" w:color="auto" w:sz="4" w:space="0"/>
            </w:tcBorders>
            <w:vAlign w:val="center"/>
          </w:tcPr>
          <w:p>
            <w:pPr>
              <w:snapToGrid w:val="0"/>
              <w:ind w:firstLine="0" w:firstLineChars="0"/>
              <w:jc w:val="center"/>
              <w:rPr>
                <w:szCs w:val="28"/>
              </w:rPr>
            </w:pPr>
          </w:p>
        </w:tc>
        <w:tc>
          <w:tcPr>
            <w:tcW w:w="5433" w:type="dxa"/>
            <w:tcBorders>
              <w:top w:val="single" w:color="auto" w:sz="4" w:space="0"/>
              <w:left w:val="single" w:color="auto" w:sz="4" w:space="0"/>
              <w:bottom w:val="single" w:color="auto" w:sz="4" w:space="0"/>
              <w:right w:val="single" w:color="auto" w:sz="4" w:space="0"/>
            </w:tcBorders>
            <w:vAlign w:val="center"/>
          </w:tcPr>
          <w:p>
            <w:pPr>
              <w:snapToGrid w:val="0"/>
              <w:spacing w:line="336" w:lineRule="auto"/>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988" w:type="dxa"/>
            <w:tcBorders>
              <w:top w:val="single" w:color="auto" w:sz="4" w:space="0"/>
              <w:left w:val="single" w:color="auto" w:sz="4" w:space="0"/>
              <w:right w:val="single" w:color="auto" w:sz="4" w:space="0"/>
            </w:tcBorders>
            <w:vAlign w:val="center"/>
          </w:tcPr>
          <w:p>
            <w:pPr>
              <w:adjustRightInd w:val="0"/>
              <w:snapToGrid w:val="0"/>
              <w:ind w:firstLine="0" w:firstLineChars="0"/>
              <w:jc w:val="center"/>
              <w:rPr>
                <w:rFonts w:ascii="宋体" w:hAnsi="宋体"/>
                <w:szCs w:val="24"/>
              </w:rPr>
            </w:pPr>
            <w:r>
              <w:rPr>
                <w:rFonts w:hint="eastAsia" w:ascii="宋体" w:hAnsi="宋体"/>
                <w:szCs w:val="24"/>
              </w:rPr>
              <w:t>（二）</w:t>
            </w:r>
          </w:p>
        </w:tc>
        <w:tc>
          <w:tcPr>
            <w:tcW w:w="1701" w:type="dxa"/>
            <w:tcBorders>
              <w:top w:val="single" w:color="auto" w:sz="4" w:space="0"/>
              <w:left w:val="single" w:color="auto" w:sz="4" w:space="0"/>
              <w:right w:val="single" w:color="auto" w:sz="4" w:space="0"/>
            </w:tcBorders>
            <w:vAlign w:val="center"/>
          </w:tcPr>
          <w:p>
            <w:pPr>
              <w:snapToGrid w:val="0"/>
              <w:spacing w:line="312" w:lineRule="auto"/>
              <w:ind w:firstLine="0" w:firstLineChars="0"/>
              <w:jc w:val="center"/>
              <w:rPr>
                <w:szCs w:val="28"/>
              </w:rPr>
            </w:pPr>
            <w:r>
              <w:rPr>
                <w:rFonts w:hint="eastAsia"/>
                <w:szCs w:val="28"/>
              </w:rPr>
              <w:t>申报本条资助的还需同时提供</w:t>
            </w:r>
          </w:p>
        </w:tc>
        <w:tc>
          <w:tcPr>
            <w:tcW w:w="5433" w:type="dxa"/>
            <w:tcBorders>
              <w:top w:val="single" w:color="auto" w:sz="4" w:space="0"/>
              <w:left w:val="single" w:color="auto" w:sz="4" w:space="0"/>
              <w:bottom w:val="single" w:color="auto" w:sz="4" w:space="0"/>
              <w:right w:val="single" w:color="auto" w:sz="4" w:space="0"/>
            </w:tcBorders>
            <w:vAlign w:val="center"/>
          </w:tcPr>
          <w:p>
            <w:pPr>
              <w:snapToGrid w:val="0"/>
              <w:ind w:left="205" w:hanging="204" w:hangingChars="80"/>
              <w:rPr>
                <w:spacing w:val="8"/>
                <w:szCs w:val="24"/>
              </w:rPr>
            </w:pPr>
            <w:r>
              <w:rPr>
                <w:rFonts w:hint="eastAsia"/>
                <w:spacing w:val="8"/>
                <w:szCs w:val="24"/>
              </w:rPr>
              <w:t>6.区司法局备案证明；</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rFonts w:ascii="宋体" w:hAnsi="宋体"/>
                <w:szCs w:val="24"/>
              </w:rPr>
            </w:pPr>
            <w:r>
              <w:rPr>
                <w:rFonts w:hint="eastAsia" w:ascii="宋体" w:hAnsi="宋体"/>
                <w:szCs w:val="24"/>
              </w:rPr>
              <w:t>（三）</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szCs w:val="24"/>
              </w:rPr>
            </w:pPr>
          </w:p>
          <w:p>
            <w:pPr>
              <w:pStyle w:val="2"/>
              <w:ind w:firstLine="240"/>
              <w:rPr>
                <w:rFonts w:hint="eastAsia"/>
              </w:rPr>
            </w:pPr>
          </w:p>
        </w:tc>
      </w:tr>
    </w:tbl>
    <w:p>
      <w:pPr>
        <w:pStyle w:val="5"/>
        <w:spacing w:line="360" w:lineRule="auto"/>
        <w:ind w:firstLine="0" w:firstLineChars="0"/>
        <w:jc w:val="center"/>
        <w:rPr>
          <w:rFonts w:ascii="黑体" w:hAnsi="黑体" w:eastAsia="黑体" w:cs="黑体"/>
          <w:bCs w:val="0"/>
          <w:sz w:val="28"/>
          <w:szCs w:val="28"/>
        </w:rPr>
      </w:pPr>
      <w:bookmarkStart w:id="164" w:name="_Toc138949346"/>
      <w:bookmarkStart w:id="165" w:name="_Toc130905477"/>
      <w:r>
        <w:rPr>
          <w:rFonts w:hint="eastAsia" w:ascii="黑体" w:hAnsi="黑体" w:eastAsia="黑体" w:cs="黑体"/>
          <w:bCs w:val="0"/>
          <w:sz w:val="28"/>
          <w:szCs w:val="28"/>
        </w:rPr>
        <w:t>第四章 支持会展业发展</w:t>
      </w:r>
      <w:bookmarkEnd w:id="158"/>
      <w:bookmarkEnd w:id="159"/>
      <w:bookmarkEnd w:id="160"/>
      <w:bookmarkEnd w:id="161"/>
      <w:bookmarkEnd w:id="162"/>
      <w:bookmarkEnd w:id="163"/>
      <w:bookmarkEnd w:id="164"/>
      <w:bookmarkEnd w:id="165"/>
    </w:p>
    <w:p>
      <w:pPr>
        <w:pStyle w:val="28"/>
        <w:spacing w:before="312" w:line="360" w:lineRule="auto"/>
        <w:outlineLvl w:val="2"/>
        <w:rPr>
          <w:bCs/>
        </w:rPr>
      </w:pPr>
      <w:bookmarkStart w:id="166" w:name="_Toc360009673"/>
      <w:bookmarkStart w:id="167" w:name="_Toc6337"/>
      <w:bookmarkStart w:id="168" w:name="_Toc74931564"/>
      <w:bookmarkStart w:id="169" w:name="_Toc87907247"/>
      <w:bookmarkStart w:id="170" w:name="_Toc1011258679"/>
      <w:bookmarkStart w:id="171" w:name="_Toc1492621489"/>
      <w:bookmarkStart w:id="172" w:name="_Toc138949347"/>
      <w:bookmarkStart w:id="173" w:name="_Toc130905478"/>
      <w:r>
        <w:rPr>
          <w:rFonts w:hint="eastAsia"/>
        </w:rPr>
        <w:t>第十一节 支持会展业集聚和品牌发展</w:t>
      </w:r>
      <w:bookmarkEnd w:id="166"/>
      <w:bookmarkEnd w:id="167"/>
      <w:bookmarkEnd w:id="168"/>
      <w:bookmarkEnd w:id="169"/>
      <w:bookmarkEnd w:id="170"/>
      <w:bookmarkEnd w:id="171"/>
      <w:r>
        <w:rPr>
          <w:rFonts w:hint="eastAsia"/>
        </w:rPr>
        <w:t>专项资助</w:t>
      </w:r>
      <w:bookmarkEnd w:id="172"/>
      <w:bookmarkEnd w:id="173"/>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（一）支持会展企业落户。对新设立或新迁入的会展类企业，落户当年或第一个会计年度营业收入超过300万元的，按会展业务营业收入的3%，给予最高200万元一次性奖励。</w:t>
      </w:r>
    </w:p>
    <w:p>
      <w:pPr>
        <w:ind w:firstLine="512"/>
        <w:rPr>
          <w:spacing w:val="8"/>
          <w:szCs w:val="24"/>
        </w:rPr>
      </w:pPr>
      <w:r>
        <w:rPr>
          <w:rFonts w:hint="eastAsia"/>
          <w:spacing w:val="8"/>
          <w:szCs w:val="24"/>
        </w:rPr>
        <w:t>（二）支持品牌展会展览</w:t>
      </w:r>
    </w:p>
    <w:p>
      <w:pPr>
        <w:ind w:firstLine="512"/>
        <w:rPr>
          <w:spacing w:val="8"/>
          <w:szCs w:val="24"/>
        </w:rPr>
      </w:pPr>
      <w:r>
        <w:rPr>
          <w:rFonts w:hint="eastAsia"/>
          <w:spacing w:val="8"/>
          <w:szCs w:val="24"/>
        </w:rPr>
        <w:t>1.对在坪山区举办的获得国际展览业协会（UFI）认证的展会、国际大会及会议协会（ICCA）认证的会议，分别给予承办方15万元、10万元一次性奖励。</w:t>
      </w:r>
    </w:p>
    <w:p>
      <w:pPr>
        <w:ind w:firstLine="512"/>
        <w:rPr>
          <w:spacing w:val="8"/>
          <w:szCs w:val="24"/>
        </w:rPr>
      </w:pPr>
      <w:r>
        <w:rPr>
          <w:rFonts w:hint="eastAsia"/>
          <w:spacing w:val="8"/>
          <w:szCs w:val="24"/>
        </w:rPr>
        <w:t>2.对获得国际展览业协会（UFI）、国际大会及会议协会（ICCA）认证的坪山区会展企业，给予50万元一次性奖励。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highlight w:val="yellow"/>
        </w:rPr>
      </w:pPr>
      <w:r>
        <w:rPr>
          <w:rFonts w:hint="eastAsia"/>
          <w:spacing w:val="8"/>
          <w:szCs w:val="24"/>
        </w:rPr>
        <w:t>（二）申报本条资助的企业，以企业所得税年度纳税申报表所属国民经济行业分类（行业代码前三位为728）为准；</w:t>
      </w:r>
    </w:p>
    <w:p>
      <w:pPr>
        <w:ind w:firstLine="512"/>
        <w:rPr>
          <w:spacing w:val="8"/>
          <w:szCs w:val="24"/>
        </w:rPr>
      </w:pPr>
      <w:r>
        <w:rPr>
          <w:rFonts w:hint="eastAsia"/>
          <w:spacing w:val="8"/>
          <w:szCs w:val="24"/>
        </w:rPr>
        <w:t>（三）申报本条第（二）款第1项资助的，</w:t>
      </w:r>
      <w:r>
        <w:rPr>
          <w:spacing w:val="8"/>
          <w:szCs w:val="24"/>
        </w:rPr>
        <w:t>可不受注册地、统计地、纳税地限制</w:t>
      </w:r>
      <w:r>
        <w:rPr>
          <w:rFonts w:hint="eastAsia"/>
          <w:spacing w:val="8"/>
          <w:szCs w:val="24"/>
        </w:rPr>
        <w:t>。</w:t>
      </w:r>
    </w:p>
    <w:p>
      <w:pPr>
        <w:ind w:firstLine="512"/>
      </w:pPr>
      <w:r>
        <w:rPr>
          <w:rFonts w:hint="eastAsia"/>
          <w:spacing w:val="8"/>
          <w:szCs w:val="24"/>
        </w:rPr>
        <w:t>（四）申报本条第（一）款和第（二）款第1项资助的，可不受上年度区级财力贡献限制。</w:t>
      </w:r>
    </w:p>
    <w:p>
      <w:pPr>
        <w:ind w:firstLine="512"/>
        <w:rPr>
          <w:spacing w:val="8"/>
          <w:szCs w:val="24"/>
        </w:rPr>
      </w:pPr>
      <w:r>
        <w:rPr>
          <w:rFonts w:hint="eastAsia"/>
          <w:spacing w:val="8"/>
          <w:szCs w:val="24"/>
        </w:rPr>
        <w:t>（五）有下列情况之一的，本条政策不予资助：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482"/>
        <w:rPr>
          <w:b/>
          <w:spacing w:val="10"/>
          <w:szCs w:val="24"/>
        </w:rPr>
      </w:pPr>
      <w:r>
        <w:rPr>
          <w:rFonts w:hint="eastAsia"/>
          <w:b/>
          <w:szCs w:val="28"/>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662"/>
        <w:gridCol w:w="5472"/>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662"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47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w:t>
            </w:r>
            <w:r>
              <w:rPr>
                <w:rFonts w:hint="eastAsia"/>
                <w:spacing w:val="8"/>
                <w:szCs w:val="24"/>
              </w:rPr>
              <w:t>《支持会展业发展类—支持会展业集聚和品牌发展专项资助项目申报书》</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662" w:type="dxa"/>
            <w:vMerge w:val="continue"/>
            <w:tcBorders>
              <w:left w:val="single" w:color="auto" w:sz="4" w:space="0"/>
              <w:right w:val="single" w:color="auto" w:sz="4" w:space="0"/>
            </w:tcBorders>
            <w:vAlign w:val="center"/>
          </w:tcPr>
          <w:p>
            <w:pPr>
              <w:ind w:firstLine="0" w:firstLineChars="0"/>
              <w:jc w:val="center"/>
              <w:rPr>
                <w:szCs w:val="28"/>
              </w:rPr>
            </w:pPr>
          </w:p>
        </w:tc>
        <w:tc>
          <w:tcPr>
            <w:tcW w:w="547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w:t>
            </w:r>
            <w:r>
              <w:rPr>
                <w:rFonts w:hint="eastAsia"/>
                <w:spacing w:val="8"/>
                <w:szCs w:val="24"/>
              </w:rPr>
              <w:t>复印件</w:t>
            </w:r>
            <w:r>
              <w:rPr>
                <w:rFonts w:hint="eastAsia"/>
                <w:szCs w:val="28"/>
              </w:rPr>
              <w:t>（三证合一新版）（验原件，收复印件）；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662" w:type="dxa"/>
            <w:vMerge w:val="continue"/>
            <w:tcBorders>
              <w:left w:val="single" w:color="auto" w:sz="4" w:space="0"/>
              <w:right w:val="single" w:color="auto" w:sz="4" w:space="0"/>
            </w:tcBorders>
            <w:vAlign w:val="center"/>
          </w:tcPr>
          <w:p>
            <w:pPr>
              <w:ind w:firstLine="0" w:firstLineChars="0"/>
              <w:jc w:val="center"/>
              <w:rPr>
                <w:szCs w:val="28"/>
              </w:rPr>
            </w:pPr>
          </w:p>
        </w:tc>
        <w:tc>
          <w:tcPr>
            <w:tcW w:w="5472"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662" w:type="dxa"/>
            <w:vMerge w:val="continue"/>
            <w:tcBorders>
              <w:left w:val="single" w:color="auto" w:sz="4" w:space="0"/>
              <w:right w:val="single" w:color="auto" w:sz="4" w:space="0"/>
            </w:tcBorders>
            <w:vAlign w:val="center"/>
          </w:tcPr>
          <w:p>
            <w:pPr>
              <w:ind w:firstLine="0" w:firstLineChars="0"/>
              <w:jc w:val="center"/>
              <w:rPr>
                <w:szCs w:val="28"/>
              </w:rPr>
            </w:pPr>
          </w:p>
        </w:tc>
        <w:tc>
          <w:tcPr>
            <w:tcW w:w="5472"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662"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47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w:t>
            </w:r>
            <w:r>
              <w:rPr>
                <w:rFonts w:hint="eastAsia"/>
                <w:spacing w:val="8"/>
                <w:szCs w:val="24"/>
              </w:rPr>
              <w:t>五年内</w:t>
            </w:r>
            <w:r>
              <w:rPr>
                <w:rFonts w:hint="eastAsia"/>
                <w:szCs w:val="28"/>
              </w:rPr>
              <w:t>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662"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申报本条第（一）款资助的还需同时提供</w:t>
            </w:r>
          </w:p>
        </w:tc>
        <w:tc>
          <w:tcPr>
            <w:tcW w:w="5472"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zCs w:val="28"/>
              </w:rPr>
            </w:pPr>
            <w:r>
              <w:rPr>
                <w:rFonts w:hint="eastAsia"/>
                <w:spacing w:val="8"/>
                <w:szCs w:val="24"/>
              </w:rPr>
              <w:t>6.</w:t>
            </w:r>
            <w:r>
              <w:rPr>
                <w:rFonts w:hint="eastAsia"/>
                <w:szCs w:val="28"/>
              </w:rPr>
              <w:t>经注册会计师</w:t>
            </w:r>
            <w:r>
              <w:rPr>
                <w:rFonts w:hint="eastAsia"/>
                <w:spacing w:val="8"/>
                <w:szCs w:val="24"/>
              </w:rPr>
              <w:t>行业</w:t>
            </w:r>
            <w:r>
              <w:rPr>
                <w:rFonts w:hint="eastAsia"/>
                <w:szCs w:val="28"/>
              </w:rPr>
              <w:t>统一监管平台备案的</w:t>
            </w:r>
            <w:r>
              <w:rPr>
                <w:rFonts w:hint="eastAsia"/>
                <w:spacing w:val="8"/>
                <w:szCs w:val="24"/>
              </w:rPr>
              <w:t>2022年度会展业务营业收入的专项审计报告</w:t>
            </w:r>
            <w:r>
              <w:rPr>
                <w:rFonts w:hint="eastAsia"/>
              </w:rPr>
              <w:t>（格式参见第六部分《项目专项审计报告提纲》）</w:t>
            </w:r>
            <w:r>
              <w:rPr>
                <w:szCs w:val="28"/>
              </w:rPr>
              <w:t>（验原件</w:t>
            </w:r>
            <w:r>
              <w:rPr>
                <w:rFonts w:hint="eastAsia"/>
                <w:szCs w:val="28"/>
              </w:rPr>
              <w:t>，</w:t>
            </w:r>
            <w:r>
              <w:rPr>
                <w:szCs w:val="28"/>
              </w:rPr>
              <w:t>收复印件）</w:t>
            </w:r>
            <w:r>
              <w:rPr>
                <w:rFonts w:hint="eastAsia"/>
                <w:spacing w:val="8"/>
                <w:szCs w:val="24"/>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662" w:type="dxa"/>
            <w:vMerge w:val="continue"/>
            <w:tcBorders>
              <w:left w:val="single" w:color="auto" w:sz="4" w:space="0"/>
              <w:right w:val="single" w:color="auto" w:sz="4" w:space="0"/>
            </w:tcBorders>
            <w:vAlign w:val="center"/>
          </w:tcPr>
          <w:p>
            <w:pPr>
              <w:ind w:firstLine="0" w:firstLineChars="0"/>
              <w:jc w:val="center"/>
              <w:rPr>
                <w:szCs w:val="28"/>
              </w:rPr>
            </w:pPr>
          </w:p>
        </w:tc>
        <w:tc>
          <w:tcPr>
            <w:tcW w:w="547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pacing w:val="8"/>
                <w:szCs w:val="24"/>
              </w:rPr>
            </w:pPr>
            <w:r>
              <w:rPr>
                <w:szCs w:val="28"/>
              </w:rPr>
              <w:t>7.</w:t>
            </w:r>
            <w:r>
              <w:rPr>
                <w:rFonts w:hint="eastAsia"/>
                <w:szCs w:val="28"/>
              </w:rPr>
              <w:t>2022年12月份增值税申报表主表，2022年度企业所得税申报表主表；</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662"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申报本条第（二）款第1项资助的还需同时提供</w:t>
            </w:r>
          </w:p>
        </w:tc>
        <w:tc>
          <w:tcPr>
            <w:tcW w:w="547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8</w:t>
            </w:r>
            <w:r>
              <w:rPr>
                <w:rFonts w:hint="eastAsia"/>
                <w:szCs w:val="28"/>
              </w:rPr>
              <w:t>.</w:t>
            </w:r>
            <w:r>
              <w:rPr>
                <w:szCs w:val="28"/>
              </w:rPr>
              <w:t>国际展览业协会（UFI）认证证书、国际大会及会议协会（ICCA）</w:t>
            </w:r>
            <w:r>
              <w:rPr>
                <w:spacing w:val="8"/>
                <w:szCs w:val="24"/>
              </w:rPr>
              <w:t>认证</w:t>
            </w:r>
            <w:r>
              <w:rPr>
                <w:szCs w:val="28"/>
              </w:rPr>
              <w:t>证书（验原件</w:t>
            </w:r>
            <w:r>
              <w:rPr>
                <w:rFonts w:hint="eastAsia"/>
                <w:szCs w:val="28"/>
              </w:rPr>
              <w:t>，</w:t>
            </w:r>
            <w:r>
              <w:rPr>
                <w:szCs w:val="28"/>
              </w:rPr>
              <w:t>收复印件）</w:t>
            </w:r>
            <w:r>
              <w:rPr>
                <w:rFonts w:hint="eastAsia"/>
                <w:szCs w:val="28"/>
              </w:rPr>
              <w:t>，</w:t>
            </w:r>
            <w:r>
              <w:rPr>
                <w:szCs w:val="28"/>
              </w:rPr>
              <w:t>展会举办情况的文字资料和照片</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1662"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申报本条第（二）款第2项资助的还需同时提供</w:t>
            </w:r>
          </w:p>
        </w:tc>
        <w:tc>
          <w:tcPr>
            <w:tcW w:w="547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9</w:t>
            </w:r>
            <w:r>
              <w:rPr>
                <w:rFonts w:hint="eastAsia"/>
                <w:szCs w:val="28"/>
              </w:rPr>
              <w:t>.</w:t>
            </w:r>
            <w:r>
              <w:rPr>
                <w:szCs w:val="28"/>
              </w:rPr>
              <w:t>国际展览业协会（UFI）认证证书、国际大会及会议协会（ICCA）认证证书（验原件</w:t>
            </w:r>
            <w:r>
              <w:rPr>
                <w:rFonts w:hint="eastAsia"/>
                <w:szCs w:val="28"/>
              </w:rPr>
              <w:t>，</w:t>
            </w:r>
            <w:r>
              <w:rPr>
                <w:szCs w:val="28"/>
              </w:rPr>
              <w:t>收复印件）</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（五）</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p>
            <w:pPr>
              <w:ind w:firstLine="0" w:firstLineChars="0"/>
              <w:jc w:val="center"/>
              <w:rPr>
                <w:rFonts w:ascii="宋体" w:hAnsi="宋体"/>
                <w:szCs w:val="24"/>
              </w:rPr>
            </w:pPr>
          </w:p>
          <w:p>
            <w:pPr>
              <w:ind w:firstLine="0" w:firstLineChars="0"/>
              <w:rPr>
                <w:rFonts w:ascii="宋体" w:hAnsi="宋体"/>
                <w:szCs w:val="24"/>
              </w:rPr>
            </w:pPr>
          </w:p>
          <w:p>
            <w:pPr>
              <w:pStyle w:val="13"/>
              <w:ind w:firstLine="480"/>
              <w:rPr>
                <w:rFonts w:hAnsi="宋体"/>
                <w:szCs w:val="24"/>
              </w:rPr>
            </w:pPr>
          </w:p>
          <w:p>
            <w:pPr>
              <w:pStyle w:val="13"/>
              <w:ind w:firstLine="480"/>
              <w:rPr>
                <w:rFonts w:hAnsi="宋体"/>
                <w:szCs w:val="24"/>
              </w:rPr>
            </w:pPr>
          </w:p>
          <w:p>
            <w:pPr>
              <w:pStyle w:val="13"/>
              <w:ind w:firstLine="480"/>
              <w:rPr>
                <w:rFonts w:hAnsi="宋体"/>
                <w:szCs w:val="24"/>
              </w:rPr>
            </w:pPr>
          </w:p>
          <w:p>
            <w:pPr>
              <w:pStyle w:val="13"/>
              <w:ind w:firstLine="480"/>
              <w:rPr>
                <w:rFonts w:hAnsi="宋体"/>
                <w:szCs w:val="24"/>
              </w:rPr>
            </w:pPr>
          </w:p>
          <w:p>
            <w:pPr>
              <w:pStyle w:val="13"/>
              <w:ind w:firstLine="480"/>
              <w:rPr>
                <w:rFonts w:hAnsi="宋体"/>
                <w:szCs w:val="24"/>
              </w:rPr>
            </w:pPr>
          </w:p>
          <w:p>
            <w:pPr>
              <w:pStyle w:val="13"/>
              <w:ind w:firstLine="480"/>
              <w:rPr>
                <w:rFonts w:hAnsi="宋体"/>
                <w:szCs w:val="24"/>
              </w:rPr>
            </w:pPr>
          </w:p>
          <w:p>
            <w:pPr>
              <w:ind w:firstLine="0" w:firstLineChars="0"/>
              <w:jc w:val="left"/>
              <w:rPr>
                <w:rFonts w:ascii="宋体" w:hAnsi="宋体"/>
                <w:szCs w:val="24"/>
              </w:rPr>
            </w:pPr>
          </w:p>
        </w:tc>
      </w:tr>
    </w:tbl>
    <w:p>
      <w:pPr>
        <w:ind w:firstLine="480"/>
      </w:pPr>
      <w:bookmarkStart w:id="174" w:name="_Toc74931565"/>
      <w:bookmarkStart w:id="175" w:name="_Toc641874336"/>
      <w:bookmarkStart w:id="176" w:name="_Toc1206509684"/>
      <w:bookmarkStart w:id="177" w:name="_Toc1077848334"/>
      <w:bookmarkStart w:id="178" w:name="_Toc318419670"/>
      <w:bookmarkStart w:id="179" w:name="_Toc6834"/>
      <w:r>
        <w:rPr>
          <w:rFonts w:hint="eastAsia"/>
        </w:rPr>
        <w:br w:type="page"/>
      </w:r>
    </w:p>
    <w:p>
      <w:pPr>
        <w:pStyle w:val="28"/>
        <w:spacing w:before="312" w:line="360" w:lineRule="auto"/>
        <w:outlineLvl w:val="2"/>
        <w:rPr>
          <w:bCs/>
        </w:rPr>
      </w:pPr>
      <w:bookmarkStart w:id="180" w:name="_Toc130905479"/>
      <w:bookmarkStart w:id="181" w:name="_Toc138949348"/>
      <w:r>
        <w:rPr>
          <w:rFonts w:hint="eastAsia"/>
        </w:rPr>
        <w:t>第十二节 支持专业会议和赛事</w:t>
      </w:r>
      <w:bookmarkEnd w:id="174"/>
      <w:bookmarkEnd w:id="175"/>
      <w:bookmarkEnd w:id="176"/>
      <w:bookmarkEnd w:id="177"/>
      <w:bookmarkEnd w:id="178"/>
      <w:bookmarkEnd w:id="179"/>
      <w:r>
        <w:rPr>
          <w:rFonts w:hint="eastAsia"/>
        </w:rPr>
        <w:t>专项资助</w:t>
      </w:r>
      <w:bookmarkEnd w:id="180"/>
      <w:bookmarkEnd w:id="181"/>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对在坪山区举办符合市“20+8”产业方向的会议或赛事，按以下标准给予承办单位资助：</w:t>
      </w:r>
    </w:p>
    <w:p>
      <w:pPr>
        <w:ind w:firstLine="512"/>
        <w:rPr>
          <w:spacing w:val="8"/>
          <w:szCs w:val="24"/>
        </w:rPr>
      </w:pPr>
      <w:r>
        <w:rPr>
          <w:rFonts w:hint="eastAsia"/>
          <w:spacing w:val="8"/>
          <w:szCs w:val="24"/>
        </w:rPr>
        <w:t>1.对国际性、全国性的会议或赛事，经区工信部门备案，按实际场地租赁费用和境内外专业媒体广告费用的50%，给予承办单位最高150万元资助，其中广告费用资助额不超过30万元。</w:t>
      </w:r>
    </w:p>
    <w:p>
      <w:pPr>
        <w:ind w:firstLine="512"/>
        <w:rPr>
          <w:spacing w:val="8"/>
          <w:szCs w:val="24"/>
        </w:rPr>
      </w:pPr>
      <w:r>
        <w:rPr>
          <w:rFonts w:hint="eastAsia"/>
          <w:spacing w:val="8"/>
          <w:szCs w:val="24"/>
        </w:rPr>
        <w:t>2.对符合重要嘉宾出席标准的会议或赛事，经区工信部门备案，按实际场地租赁费用和境内外专业媒体广告费用的50%，给予承办单位资助。重要嘉宾出席3人以上的，给予承办单位最高80万元资助，其中广告费用资助额不超过16万元；重要嘉宾出席5人以上的，给予承办单位最高100万元资助，其中广告费用资助额不超过20万元；重要嘉宾出席10人以上的，给予承办单位最高150万元资助，其中广告费用资助额不超过30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1.守法经营、诚实守信、有规范健全的财务会计制度</w:t>
      </w:r>
      <w:r>
        <w:rPr>
          <w:rFonts w:hint="eastAsia"/>
          <w:spacing w:val="8"/>
          <w:szCs w:val="24"/>
        </w:rPr>
        <w:t>。</w:t>
      </w:r>
    </w:p>
    <w:p>
      <w:pPr>
        <w:ind w:firstLine="512"/>
        <w:rPr>
          <w:spacing w:val="8"/>
          <w:szCs w:val="24"/>
        </w:rPr>
      </w:pPr>
      <w:r>
        <w:rPr>
          <w:rFonts w:hint="eastAsia"/>
          <w:spacing w:val="8"/>
          <w:szCs w:val="24"/>
        </w:rPr>
        <w:t>（二）申报本条资助的，</w:t>
      </w:r>
      <w:r>
        <w:rPr>
          <w:spacing w:val="8"/>
          <w:szCs w:val="24"/>
        </w:rPr>
        <w:t>可不受注册地、统计地、纳税地限制</w:t>
      </w:r>
      <w:r>
        <w:rPr>
          <w:rFonts w:hint="eastAsia"/>
          <w:spacing w:val="8"/>
          <w:szCs w:val="24"/>
        </w:rPr>
        <w:t>，可不受上年度区级财力贡献限制，可不受本措施申报主体限制。</w:t>
      </w:r>
    </w:p>
    <w:p>
      <w:pPr>
        <w:ind w:firstLine="512"/>
        <w:rPr>
          <w:spacing w:val="8"/>
          <w:szCs w:val="24"/>
        </w:rPr>
      </w:pPr>
      <w:r>
        <w:rPr>
          <w:rFonts w:hint="eastAsia"/>
          <w:spacing w:val="8"/>
          <w:szCs w:val="24"/>
        </w:rPr>
        <w:t>（三）有下列情况之一的，本条政策不予资助：</w:t>
      </w:r>
    </w:p>
    <w:p>
      <w:pPr>
        <w:ind w:firstLine="512"/>
        <w:rPr>
          <w:spacing w:val="8"/>
          <w:szCs w:val="24"/>
        </w:rPr>
      </w:pPr>
      <w:r>
        <w:rPr>
          <w:spacing w:val="8"/>
          <w:szCs w:val="24"/>
        </w:rPr>
        <w:t>1</w:t>
      </w:r>
      <w:r>
        <w:rPr>
          <w:rFonts w:hint="eastAsia"/>
          <w:spacing w:val="8"/>
          <w:szCs w:val="24"/>
        </w:rPr>
        <w:t>.被司法机关认定存在行贿行为，且被列入坪山区不良经营主体名单并在影响期内的。</w:t>
      </w:r>
    </w:p>
    <w:p>
      <w:pPr>
        <w:ind w:firstLine="512"/>
        <w:rPr>
          <w:spacing w:val="8"/>
          <w:szCs w:val="24"/>
        </w:rPr>
      </w:pPr>
      <w:r>
        <w:rPr>
          <w:spacing w:val="8"/>
          <w:szCs w:val="24"/>
        </w:rPr>
        <w:t>2</w:t>
      </w:r>
      <w:r>
        <w:rPr>
          <w:rFonts w:hint="eastAsia"/>
          <w:spacing w:val="8"/>
          <w:szCs w:val="24"/>
        </w:rPr>
        <w:t>.在申报专项资金过程中弄虚作假，虚报、谎报企业信息，或拒绝配合专项资金绩效评价和监督检查的。</w:t>
      </w:r>
    </w:p>
    <w:p>
      <w:pPr>
        <w:ind w:firstLine="512"/>
        <w:rPr>
          <w:spacing w:val="8"/>
          <w:szCs w:val="24"/>
        </w:rPr>
      </w:pPr>
      <w:r>
        <w:rPr>
          <w:spacing w:val="8"/>
          <w:szCs w:val="24"/>
        </w:rPr>
        <w:t>3</w:t>
      </w:r>
      <w:r>
        <w:rPr>
          <w:rFonts w:hint="eastAsia"/>
          <w:spacing w:val="8"/>
          <w:szCs w:val="24"/>
        </w:rPr>
        <w:t>.同一事项已获得区级财政资金资助的。</w:t>
      </w:r>
    </w:p>
    <w:p>
      <w:pPr>
        <w:ind w:firstLine="512"/>
        <w:rPr>
          <w:spacing w:val="8"/>
          <w:szCs w:val="24"/>
        </w:rPr>
      </w:pPr>
      <w:r>
        <w:rPr>
          <w:spacing w:val="8"/>
          <w:szCs w:val="24"/>
        </w:rPr>
        <w:t>4</w:t>
      </w:r>
      <w:r>
        <w:rPr>
          <w:rFonts w:hint="eastAsia"/>
          <w:spacing w:val="8"/>
          <w:szCs w:val="24"/>
        </w:rPr>
        <w:t>.被列入全国范围内实施的严重失信主体名单。</w:t>
      </w:r>
    </w:p>
    <w:p>
      <w:pPr>
        <w:ind w:firstLine="512"/>
        <w:rPr>
          <w:spacing w:val="8"/>
          <w:szCs w:val="24"/>
        </w:rPr>
      </w:pPr>
      <w:r>
        <w:rPr>
          <w:spacing w:val="8"/>
          <w:szCs w:val="24"/>
        </w:rPr>
        <w:t>5</w:t>
      </w:r>
      <w:r>
        <w:rPr>
          <w:rFonts w:hint="eastAsia"/>
          <w:spacing w:val="8"/>
          <w:szCs w:val="24"/>
        </w:rPr>
        <w:t>.法律、法规规定的其他情形。</w:t>
      </w:r>
    </w:p>
    <w:p>
      <w:pPr>
        <w:ind w:firstLine="512"/>
        <w:rPr>
          <w:spacing w:val="8"/>
          <w:szCs w:val="24"/>
        </w:rPr>
      </w:pPr>
      <w:r>
        <w:rPr>
          <w:rFonts w:hint="eastAsia"/>
          <w:spacing w:val="8"/>
          <w:szCs w:val="24"/>
        </w:rPr>
        <w:t>（四）申报本条第</w:t>
      </w:r>
      <w:r>
        <w:rPr>
          <w:spacing w:val="8"/>
          <w:szCs w:val="24"/>
        </w:rPr>
        <w:t>1</w:t>
      </w:r>
      <w:r>
        <w:rPr>
          <w:rFonts w:hint="eastAsia"/>
          <w:spacing w:val="8"/>
          <w:szCs w:val="24"/>
        </w:rPr>
        <w:t>项资助的，国际性会议须为经市外事局备案的国际性会议（不少于</w:t>
      </w:r>
      <w:r>
        <w:rPr>
          <w:spacing w:val="8"/>
          <w:szCs w:val="24"/>
        </w:rPr>
        <w:t>3个国家）</w:t>
      </w:r>
      <w:r>
        <w:rPr>
          <w:rFonts w:hint="eastAsia"/>
          <w:spacing w:val="8"/>
          <w:szCs w:val="24"/>
        </w:rPr>
        <w:t>；全国性会议主办单位须为国家级协会、学会。</w:t>
      </w:r>
    </w:p>
    <w:p>
      <w:pPr>
        <w:ind w:firstLine="512"/>
        <w:rPr>
          <w:spacing w:val="8"/>
          <w:szCs w:val="24"/>
        </w:rPr>
      </w:pPr>
      <w:r>
        <w:rPr>
          <w:rFonts w:hint="eastAsia"/>
          <w:spacing w:val="8"/>
          <w:szCs w:val="24"/>
        </w:rPr>
        <w:t>（五）申报本条第2项资助的，重要嘉宾包括国家部委司局级以上现任政府官员；诺贝尔奖获得者、两院院士；世界500强中国区副总裁以上人员；中国100强企业副总裁以上人员。</w:t>
      </w:r>
    </w:p>
    <w:p>
      <w:pPr>
        <w:ind w:firstLine="512"/>
        <w:rPr>
          <w:spacing w:val="8"/>
          <w:szCs w:val="24"/>
        </w:rPr>
      </w:pPr>
      <w:r>
        <w:rPr>
          <w:rFonts w:hint="eastAsia"/>
          <w:spacing w:val="8"/>
          <w:szCs w:val="24"/>
        </w:rPr>
        <w:t>（六）申报本条第1项资助的，须先备案后申报（备案指南另行发布）。</w:t>
      </w:r>
    </w:p>
    <w:p>
      <w:pPr>
        <w:ind w:firstLine="512"/>
        <w:rPr>
          <w:spacing w:val="8"/>
          <w:szCs w:val="24"/>
        </w:rPr>
      </w:pPr>
      <w:r>
        <w:rPr>
          <w:rFonts w:hint="eastAsia"/>
          <w:spacing w:val="8"/>
          <w:szCs w:val="24"/>
        </w:rPr>
        <w:t>（七）申报本条第2项资助的，须先备案后申报（备案指南另行发布）。</w:t>
      </w:r>
    </w:p>
    <w:p>
      <w:pPr>
        <w:ind w:firstLine="512"/>
      </w:pPr>
      <w:r>
        <w:rPr>
          <w:rFonts w:hint="eastAsia"/>
          <w:spacing w:val="8"/>
          <w:szCs w:val="24"/>
        </w:rPr>
        <w:t>（八）本条第1项与第2项不能同时申报。</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418"/>
        <w:gridCol w:w="5300"/>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671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18"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30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w:t>
            </w:r>
            <w:r>
              <w:rPr>
                <w:rFonts w:hint="eastAsia"/>
                <w:spacing w:val="8"/>
                <w:szCs w:val="24"/>
              </w:rPr>
              <w:t>《支持会展业发展类——支持专业会议和赛事专项资助项目申报书》</w:t>
            </w:r>
            <w:r>
              <w:rPr>
                <w:rFonts w:hint="eastAsia"/>
                <w:szCs w:val="28"/>
              </w:rPr>
              <w:t>；</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18" w:type="dxa"/>
            <w:vMerge w:val="continue"/>
            <w:tcBorders>
              <w:left w:val="single" w:color="auto" w:sz="4" w:space="0"/>
              <w:right w:val="single" w:color="auto" w:sz="4" w:space="0"/>
            </w:tcBorders>
            <w:vAlign w:val="center"/>
          </w:tcPr>
          <w:p>
            <w:pPr>
              <w:ind w:firstLine="0" w:firstLineChars="0"/>
              <w:jc w:val="center"/>
              <w:rPr>
                <w:szCs w:val="28"/>
              </w:rPr>
            </w:pPr>
          </w:p>
        </w:tc>
        <w:tc>
          <w:tcPr>
            <w:tcW w:w="530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w:t>
            </w:r>
            <w:r>
              <w:rPr>
                <w:rFonts w:hint="eastAsia"/>
                <w:spacing w:val="8"/>
                <w:szCs w:val="24"/>
              </w:rPr>
              <w:t>复印件</w:t>
            </w:r>
            <w:r>
              <w:rPr>
                <w:rFonts w:hint="eastAsia"/>
                <w:szCs w:val="28"/>
              </w:rPr>
              <w:t>）；</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18" w:type="dxa"/>
            <w:vMerge w:val="continue"/>
            <w:tcBorders>
              <w:left w:val="single" w:color="auto" w:sz="4" w:space="0"/>
              <w:right w:val="single" w:color="auto" w:sz="4" w:space="0"/>
            </w:tcBorders>
            <w:vAlign w:val="center"/>
          </w:tcPr>
          <w:p>
            <w:pPr>
              <w:ind w:firstLine="0" w:firstLineChars="0"/>
              <w:jc w:val="center"/>
              <w:rPr>
                <w:szCs w:val="28"/>
              </w:rPr>
            </w:pPr>
          </w:p>
        </w:tc>
        <w:tc>
          <w:tcPr>
            <w:tcW w:w="530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3.法定</w:t>
            </w:r>
            <w:r>
              <w:rPr>
                <w:rFonts w:hint="eastAsia"/>
                <w:spacing w:val="8"/>
                <w:szCs w:val="24"/>
              </w:rPr>
              <w:t>代表</w:t>
            </w:r>
            <w:r>
              <w:rPr>
                <w:rFonts w:hint="eastAsia"/>
                <w:szCs w:val="28"/>
              </w:rPr>
              <w:t>人（负责人）身份证复印件和签字样本；</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18"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申报本条资助的还需同时提供</w:t>
            </w:r>
          </w:p>
        </w:tc>
        <w:tc>
          <w:tcPr>
            <w:tcW w:w="530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4.经注册会计师</w:t>
            </w:r>
            <w:r>
              <w:rPr>
                <w:rFonts w:hint="eastAsia"/>
                <w:spacing w:val="8"/>
                <w:szCs w:val="24"/>
              </w:rPr>
              <w:t>行业</w:t>
            </w:r>
            <w:r>
              <w:rPr>
                <w:rFonts w:hint="eastAsia"/>
                <w:szCs w:val="28"/>
              </w:rPr>
              <w:t>统一监管平台备案的实际场地租赁费用和境内外专业媒体广告费用</w:t>
            </w:r>
            <w:r>
              <w:rPr>
                <w:szCs w:val="28"/>
              </w:rPr>
              <w:t>专项审计报告，</w:t>
            </w:r>
            <w:r>
              <w:rPr>
                <w:rFonts w:hint="eastAsia"/>
                <w:szCs w:val="28"/>
              </w:rPr>
              <w:t>合同、</w:t>
            </w:r>
            <w:r>
              <w:rPr>
                <w:szCs w:val="28"/>
              </w:rPr>
              <w:t>发票、支付凭证</w:t>
            </w:r>
            <w:r>
              <w:rPr>
                <w:rFonts w:hint="eastAsia"/>
                <w:szCs w:val="28"/>
              </w:rPr>
              <w:t>（格式参见</w:t>
            </w:r>
            <w:r>
              <w:rPr>
                <w:rFonts w:hint="eastAsia"/>
                <w:spacing w:val="8"/>
                <w:szCs w:val="24"/>
              </w:rPr>
              <w:t>第六部分</w:t>
            </w:r>
            <w:r>
              <w:rPr>
                <w:rFonts w:hint="eastAsia"/>
                <w:szCs w:val="28"/>
              </w:rPr>
              <w:t>《项目专项审计报告提纲》）</w:t>
            </w:r>
            <w:r>
              <w:rPr>
                <w:szCs w:val="28"/>
              </w:rPr>
              <w:t>（验原件</w:t>
            </w:r>
            <w:r>
              <w:rPr>
                <w:rFonts w:hint="eastAsia"/>
                <w:szCs w:val="28"/>
              </w:rPr>
              <w:t>，</w:t>
            </w:r>
            <w:r>
              <w:rPr>
                <w:szCs w:val="28"/>
              </w:rPr>
              <w:t>收复印件）</w:t>
            </w:r>
            <w:r>
              <w:rPr>
                <w:rFonts w:hint="eastAsia"/>
                <w:szCs w:val="28"/>
              </w:rPr>
              <w:t>；区工信部门备案证明；</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418"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申报本条第2项资助的还需同时提供</w:t>
            </w:r>
          </w:p>
        </w:tc>
        <w:tc>
          <w:tcPr>
            <w:tcW w:w="530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5</w:t>
            </w:r>
            <w:r>
              <w:rPr>
                <w:rFonts w:hint="eastAsia"/>
                <w:szCs w:val="28"/>
              </w:rPr>
              <w:t>.经注册会计师</w:t>
            </w:r>
            <w:r>
              <w:rPr>
                <w:rFonts w:hint="eastAsia"/>
                <w:spacing w:val="8"/>
                <w:szCs w:val="24"/>
              </w:rPr>
              <w:t>行业</w:t>
            </w:r>
            <w:r>
              <w:rPr>
                <w:rFonts w:hint="eastAsia"/>
                <w:szCs w:val="28"/>
              </w:rPr>
              <w:t>统一监管平台备案的实际场地租赁费用和境内外专业媒体广告费用</w:t>
            </w:r>
            <w:r>
              <w:rPr>
                <w:szCs w:val="28"/>
              </w:rPr>
              <w:t>专项审计报告，</w:t>
            </w:r>
            <w:r>
              <w:rPr>
                <w:rFonts w:hint="eastAsia"/>
                <w:szCs w:val="28"/>
              </w:rPr>
              <w:t>合同、</w:t>
            </w:r>
            <w:r>
              <w:rPr>
                <w:szCs w:val="28"/>
              </w:rPr>
              <w:t>发票、支付凭证</w:t>
            </w:r>
            <w:r>
              <w:rPr>
                <w:rFonts w:hint="eastAsia"/>
                <w:szCs w:val="28"/>
              </w:rPr>
              <w:t>（格式参见</w:t>
            </w:r>
            <w:r>
              <w:rPr>
                <w:rFonts w:hint="eastAsia"/>
                <w:spacing w:val="8"/>
                <w:szCs w:val="24"/>
              </w:rPr>
              <w:t>第六部分</w:t>
            </w:r>
            <w:r>
              <w:rPr>
                <w:rFonts w:hint="eastAsia"/>
                <w:szCs w:val="28"/>
              </w:rPr>
              <w:t>《项目专项审计报告提纲》）</w:t>
            </w:r>
            <w:r>
              <w:rPr>
                <w:szCs w:val="28"/>
              </w:rPr>
              <w:t>（验原件</w:t>
            </w:r>
            <w:r>
              <w:rPr>
                <w:rFonts w:hint="eastAsia"/>
                <w:szCs w:val="28"/>
              </w:rPr>
              <w:t>，</w:t>
            </w:r>
            <w:r>
              <w:rPr>
                <w:szCs w:val="28"/>
              </w:rPr>
              <w:t>收复印件）</w:t>
            </w:r>
            <w:r>
              <w:rPr>
                <w:rFonts w:hint="eastAsia"/>
                <w:szCs w:val="28"/>
              </w:rPr>
              <w:t>；出席会议或赛事的重要嘉宾名单、职称；含重要嘉宾的会议或赛事现场照片；区工信部门备案证明；</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671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ascii="宋体" w:hAnsi="宋体" w:cs="宋体"/>
                <w:szCs w:val="24"/>
              </w:rPr>
            </w:pPr>
          </w:p>
          <w:p>
            <w:pPr>
              <w:ind w:firstLine="0" w:firstLineChars="0"/>
              <w:jc w:val="left"/>
              <w:rPr>
                <w:rFonts w:ascii="宋体" w:hAnsi="宋体" w:cs="宋体"/>
                <w:szCs w:val="24"/>
              </w:rPr>
            </w:pPr>
          </w:p>
          <w:p>
            <w:pPr>
              <w:pStyle w:val="2"/>
              <w:spacing w:line="360" w:lineRule="auto"/>
              <w:ind w:firstLine="240"/>
            </w:pPr>
          </w:p>
          <w:p>
            <w:pPr>
              <w:pStyle w:val="2"/>
              <w:spacing w:line="360" w:lineRule="auto"/>
              <w:ind w:firstLine="240"/>
            </w:pPr>
          </w:p>
          <w:p>
            <w:pPr>
              <w:pStyle w:val="2"/>
              <w:spacing w:line="360" w:lineRule="auto"/>
              <w:ind w:firstLine="240"/>
            </w:pPr>
          </w:p>
          <w:p>
            <w:pPr>
              <w:pStyle w:val="2"/>
              <w:spacing w:line="360" w:lineRule="auto"/>
              <w:ind w:firstLine="240"/>
            </w:pPr>
          </w:p>
          <w:p>
            <w:pPr>
              <w:pStyle w:val="2"/>
              <w:spacing w:line="360" w:lineRule="auto"/>
              <w:ind w:firstLine="240"/>
            </w:pPr>
          </w:p>
          <w:p>
            <w:pPr>
              <w:pStyle w:val="2"/>
              <w:spacing w:line="360" w:lineRule="auto"/>
              <w:ind w:firstLine="240"/>
            </w:pPr>
          </w:p>
          <w:p>
            <w:pPr>
              <w:ind w:firstLine="0" w:firstLineChars="0"/>
              <w:jc w:val="left"/>
              <w:rPr>
                <w:rFonts w:ascii="宋体" w:hAnsi="宋体" w:cs="宋体"/>
                <w:szCs w:val="24"/>
              </w:rPr>
            </w:pPr>
          </w:p>
        </w:tc>
      </w:tr>
    </w:tbl>
    <w:p>
      <w:pPr>
        <w:pStyle w:val="4"/>
        <w:spacing w:line="360" w:lineRule="auto"/>
        <w:jc w:val="center"/>
        <w:rPr>
          <w:rFonts w:ascii="黑体" w:hAnsi="黑体" w:eastAsia="黑体" w:cs="黑体"/>
          <w:bCs w:val="0"/>
          <w:sz w:val="32"/>
          <w:szCs w:val="32"/>
        </w:rPr>
        <w:sectPr>
          <w:pgSz w:w="11906" w:h="16838"/>
          <w:pgMar w:top="1440" w:right="1800" w:bottom="1440" w:left="1800" w:header="851" w:footer="992" w:gutter="0"/>
          <w:cols w:space="720" w:num="1"/>
          <w:docGrid w:type="lines" w:linePitch="312" w:charSpace="0"/>
        </w:sectPr>
      </w:pPr>
    </w:p>
    <w:p>
      <w:pPr>
        <w:pStyle w:val="5"/>
        <w:spacing w:line="360" w:lineRule="auto"/>
        <w:ind w:firstLine="0" w:firstLineChars="0"/>
        <w:jc w:val="center"/>
        <w:rPr>
          <w:rFonts w:ascii="黑体" w:hAnsi="黑体" w:eastAsia="黑体" w:cs="黑体"/>
          <w:bCs w:val="0"/>
          <w:sz w:val="28"/>
          <w:szCs w:val="28"/>
        </w:rPr>
      </w:pPr>
      <w:bookmarkStart w:id="182" w:name="_Toc30640"/>
      <w:bookmarkStart w:id="183" w:name="_Toc138949349"/>
      <w:bookmarkStart w:id="184" w:name="_Toc1463398265"/>
      <w:bookmarkStart w:id="185" w:name="_Toc74931566"/>
      <w:bookmarkStart w:id="186" w:name="_Toc1056416252"/>
      <w:bookmarkStart w:id="187" w:name="_Toc130905480"/>
      <w:bookmarkStart w:id="188" w:name="_Toc80800386"/>
      <w:bookmarkStart w:id="189" w:name="_Toc1086200269"/>
      <w:r>
        <w:rPr>
          <w:rFonts w:hint="eastAsia" w:ascii="黑体" w:hAnsi="黑体" w:eastAsia="黑体" w:cs="黑体"/>
          <w:bCs w:val="0"/>
          <w:sz w:val="28"/>
          <w:szCs w:val="28"/>
        </w:rPr>
        <w:t>第五章 支持保税服务发展</w:t>
      </w:r>
      <w:bookmarkEnd w:id="182"/>
      <w:bookmarkEnd w:id="183"/>
      <w:bookmarkEnd w:id="184"/>
      <w:bookmarkEnd w:id="185"/>
      <w:bookmarkEnd w:id="186"/>
      <w:bookmarkEnd w:id="187"/>
      <w:bookmarkEnd w:id="188"/>
      <w:bookmarkEnd w:id="189"/>
    </w:p>
    <w:p>
      <w:pPr>
        <w:pStyle w:val="28"/>
        <w:spacing w:before="312" w:line="360" w:lineRule="auto"/>
        <w:outlineLvl w:val="2"/>
        <w:rPr>
          <w:bCs/>
        </w:rPr>
      </w:pPr>
      <w:bookmarkStart w:id="190" w:name="_Toc909166701"/>
      <w:bookmarkStart w:id="191" w:name="_Toc950311514"/>
      <w:bookmarkStart w:id="192" w:name="_Toc1508033304"/>
      <w:bookmarkStart w:id="193" w:name="_Toc74931567"/>
      <w:bookmarkStart w:id="194" w:name="_Toc17399"/>
      <w:bookmarkStart w:id="195" w:name="_Toc2026985438"/>
      <w:bookmarkStart w:id="196" w:name="_Toc130905481"/>
      <w:bookmarkStart w:id="197" w:name="_Toc138949350"/>
      <w:r>
        <w:rPr>
          <w:rFonts w:hint="eastAsia"/>
        </w:rPr>
        <w:t xml:space="preserve">第十三节 </w:t>
      </w:r>
      <w:bookmarkEnd w:id="190"/>
      <w:bookmarkEnd w:id="191"/>
      <w:bookmarkEnd w:id="192"/>
      <w:bookmarkEnd w:id="193"/>
      <w:bookmarkEnd w:id="194"/>
      <w:bookmarkEnd w:id="195"/>
      <w:r>
        <w:rPr>
          <w:rFonts w:hint="eastAsia"/>
        </w:rPr>
        <w:t>支持</w:t>
      </w:r>
      <w:bookmarkStart w:id="198" w:name="_Hlk115014725"/>
      <w:r>
        <w:rPr>
          <w:rFonts w:hint="eastAsia"/>
        </w:rPr>
        <w:t>电子元器件和集成电路分拨业务发展</w:t>
      </w:r>
      <w:bookmarkEnd w:id="198"/>
      <w:r>
        <w:rPr>
          <w:rFonts w:hint="eastAsia"/>
        </w:rPr>
        <w:t>专项资助</w:t>
      </w:r>
      <w:bookmarkEnd w:id="196"/>
      <w:bookmarkEnd w:id="197"/>
    </w:p>
    <w:p>
      <w:pPr>
        <w:ind w:firstLine="514"/>
        <w:rPr>
          <w:b/>
          <w:bCs/>
          <w:spacing w:val="8"/>
          <w:szCs w:val="24"/>
        </w:rPr>
      </w:pPr>
      <w:r>
        <w:rPr>
          <w:rFonts w:hint="eastAsia"/>
          <w:b/>
          <w:bCs/>
          <w:spacing w:val="8"/>
          <w:szCs w:val="24"/>
        </w:rPr>
        <w:t>一、政策内容</w:t>
      </w:r>
    </w:p>
    <w:p>
      <w:pPr>
        <w:ind w:firstLine="480"/>
      </w:pPr>
      <w:bookmarkStart w:id="199" w:name="_Hlk71555706"/>
      <w:r>
        <w:rPr>
          <w:rFonts w:hint="eastAsia"/>
        </w:rPr>
        <w:t>（一）支持物流仓库智能化升级改造。对坪山综保区内面积5000平方米以上的集成电路和电子元器件物流供应链企业，购置设备和改造升级实际投入500万元以上的（不含装修费用），经区工信部门备案，按实际投入费用的10%，给予最高500万元资助。</w:t>
      </w:r>
    </w:p>
    <w:p>
      <w:pPr>
        <w:ind w:firstLine="480"/>
      </w:pPr>
      <w:r>
        <w:rPr>
          <w:rFonts w:hint="eastAsia"/>
        </w:rPr>
        <w:t>（二）支持集成电路和电子元器件物流供应链企业租赁生产用房。对新入驻坪山综保区的集成电路和电子元器件物流供应链企业，入驻当年或第一个会计年度营业收入达到2000万元以上的，按实际租金且不超过30元/平方米/月的标准，给予一年租金资助，单个企业最高资助100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申报主体原则上必须是统计地、纳税地均在坪山区，且注册地在坪山综合保税区内的企业；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pStyle w:val="2"/>
        <w:spacing w:line="360" w:lineRule="auto"/>
        <w:ind w:firstLine="512" w:firstLineChars="200"/>
        <w:rPr>
          <w:rFonts w:ascii="Times New Roman" w:eastAsia="宋体"/>
          <w:spacing w:val="8"/>
          <w:szCs w:val="24"/>
        </w:rPr>
      </w:pPr>
      <w:r>
        <w:rPr>
          <w:rFonts w:hint="eastAsia" w:ascii="Times New Roman" w:eastAsia="宋体"/>
          <w:spacing w:val="8"/>
          <w:szCs w:val="24"/>
        </w:rPr>
        <w:t>（二）申报本条第（二）款资助的，不受上年度区级财力贡献限制。</w:t>
      </w:r>
    </w:p>
    <w:p>
      <w:pPr>
        <w:ind w:firstLine="512"/>
        <w:rPr>
          <w:spacing w:val="8"/>
          <w:szCs w:val="24"/>
        </w:rPr>
      </w:pPr>
      <w:r>
        <w:rPr>
          <w:rFonts w:hint="eastAsia"/>
          <w:spacing w:val="8"/>
          <w:szCs w:val="24"/>
        </w:rPr>
        <w:t>（三）有下列情况之一的，本条政策不予资助：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pStyle w:val="9"/>
        <w:ind w:firstLine="512"/>
        <w:rPr>
          <w:rFonts w:ascii="Times New Roman" w:hAnsi="Times New Roman"/>
          <w:spacing w:val="8"/>
          <w:sz w:val="24"/>
          <w:szCs w:val="24"/>
        </w:rPr>
      </w:pPr>
      <w:r>
        <w:rPr>
          <w:rFonts w:hint="eastAsia" w:ascii="Times New Roman" w:hAnsi="Times New Roman"/>
          <w:spacing w:val="8"/>
          <w:sz w:val="24"/>
          <w:szCs w:val="24"/>
        </w:rPr>
        <w:t>（四）申报本条第（一）款资助的，须先备案后申报</w:t>
      </w:r>
      <w:r>
        <w:rPr>
          <w:rFonts w:hint="eastAsia"/>
          <w:spacing w:val="8"/>
          <w:sz w:val="24"/>
          <w:szCs w:val="24"/>
        </w:rPr>
        <w:t>（备案指南另行发布）</w:t>
      </w:r>
      <w:r>
        <w:rPr>
          <w:rFonts w:hint="eastAsia" w:ascii="Times New Roman" w:hAnsi="Times New Roman"/>
          <w:spacing w:val="8"/>
          <w:sz w:val="24"/>
          <w:szCs w:val="24"/>
        </w:rPr>
        <w:t>。</w:t>
      </w:r>
    </w:p>
    <w:p>
      <w:pPr>
        <w:pStyle w:val="9"/>
        <w:ind w:firstLine="512"/>
        <w:rPr>
          <w:rFonts w:ascii="Times New Roman" w:hAnsi="Times New Roman"/>
          <w:spacing w:val="8"/>
          <w:sz w:val="24"/>
          <w:szCs w:val="24"/>
        </w:rPr>
      </w:pPr>
      <w:r>
        <w:rPr>
          <w:rFonts w:hint="eastAsia" w:ascii="Times New Roman" w:hAnsi="Times New Roman"/>
          <w:spacing w:val="8"/>
          <w:sz w:val="24"/>
          <w:szCs w:val="24"/>
        </w:rPr>
        <w:t>（五）申报本条第（二）款资助的企业，以落户当年的租金申报资助的，资助时间范围为申报单位在坪山区注册或迁入之日后次月至2022年12月31日，租赁未满一年的以实际租赁时间为准；企业以第一个会计年度的租金申报资助的，资助时间范围为2022年1月1日至12月31日之间。</w:t>
      </w:r>
    </w:p>
    <w:bookmarkEnd w:id="199"/>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bookmarkStart w:id="200" w:name="_Hlk71572678"/>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435"/>
        <w:gridCol w:w="5746"/>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81"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35"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w:t>
            </w:r>
            <w:r>
              <w:rPr>
                <w:rFonts w:hint="eastAsia"/>
                <w:spacing w:val="8"/>
                <w:szCs w:val="24"/>
              </w:rPr>
              <w:t>《支持保税服务类—支持电子元器件和集成电路分拨业务发展专项资助项目申报书》</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35" w:type="dxa"/>
            <w:vMerge w:val="continue"/>
            <w:tcBorders>
              <w:left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35" w:type="dxa"/>
            <w:vMerge w:val="continue"/>
            <w:tcBorders>
              <w:left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firstLine="0" w:firstLineChars="0"/>
              <w:rPr>
                <w:szCs w:val="28"/>
              </w:rPr>
            </w:pPr>
            <w:r>
              <w:rPr>
                <w:rFonts w:hint="eastAsia"/>
                <w:szCs w:val="28"/>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35" w:type="dxa"/>
            <w:vMerge w:val="continue"/>
            <w:tcBorders>
              <w:left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435"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35"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申报本条第（一）款资助的还需同时提供</w:t>
            </w: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6</w:t>
            </w:r>
            <w:r>
              <w:rPr>
                <w:szCs w:val="28"/>
              </w:rPr>
              <w:t>.</w:t>
            </w:r>
            <w:r>
              <w:rPr>
                <w:rFonts w:hint="eastAsia"/>
                <w:szCs w:val="28"/>
              </w:rPr>
              <w:t>租赁合同、街道等政府部门或有关单位出具的租赁凭证或场所使用证明；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35" w:type="dxa"/>
            <w:vMerge w:val="continue"/>
            <w:tcBorders>
              <w:left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rPr>
              <w:t>7</w:t>
            </w:r>
            <w:r>
              <w:t>.</w:t>
            </w:r>
            <w:r>
              <w:rPr>
                <w:rFonts w:hint="eastAsia"/>
              </w:rPr>
              <w:t>经注册会计师</w:t>
            </w:r>
            <w:r>
              <w:rPr>
                <w:rFonts w:hint="eastAsia"/>
                <w:spacing w:val="8"/>
                <w:szCs w:val="24"/>
              </w:rPr>
              <w:t>行业</w:t>
            </w:r>
            <w:r>
              <w:rPr>
                <w:rFonts w:hint="eastAsia"/>
              </w:rPr>
              <w:t>统一监管平台备案的物流仓储智能化改造实际投资额专项审计报告（格式参见第六部分《项目专项审计报告提纲》）、</w:t>
            </w:r>
            <w:r>
              <w:t>与项目实施有关的合同、</w:t>
            </w:r>
            <w:r>
              <w:rPr>
                <w:rFonts w:hint="eastAsia"/>
              </w:rPr>
              <w:t>发票及支付凭证</w:t>
            </w:r>
            <w:r>
              <w:rPr>
                <w:rFonts w:hint="eastAsia"/>
                <w:szCs w:val="28"/>
              </w:rPr>
              <w:t>（验原件，收复印件）；区工信部门备案证明</w:t>
            </w:r>
            <w:r>
              <w:rPr>
                <w:rFonts w:hint="eastAsia"/>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435"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申报本条第（二）款资助的还需同时提供</w:t>
            </w:r>
          </w:p>
        </w:tc>
        <w:tc>
          <w:tcPr>
            <w:tcW w:w="5746"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8.</w:t>
            </w:r>
            <w:r>
              <w:rPr>
                <w:rFonts w:hint="eastAsia"/>
                <w:szCs w:val="28"/>
              </w:rPr>
              <w:t>租赁合同、街道等政府部门或有关单位出具的租赁凭证或场所使用证明</w:t>
            </w:r>
            <w:r>
              <w:rPr>
                <w:rFonts w:hint="eastAsia"/>
                <w:spacing w:val="8"/>
                <w:szCs w:val="24"/>
              </w:rPr>
              <w:t>；2022年度租金发票和支付凭证（验原件，收复印件）；租赁用房信息明细表（格式参见第六部分《租赁用房信息明细表》）；</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35" w:type="dxa"/>
            <w:vMerge w:val="continue"/>
            <w:tcBorders>
              <w:left w:val="single" w:color="auto" w:sz="4" w:space="0"/>
              <w:right w:val="single" w:color="auto" w:sz="4" w:space="0"/>
            </w:tcBorders>
            <w:vAlign w:val="center"/>
          </w:tcPr>
          <w:p>
            <w:pPr>
              <w:ind w:firstLine="0" w:firstLineChars="0"/>
              <w:jc w:val="center"/>
              <w:rPr>
                <w:szCs w:val="28"/>
              </w:rPr>
            </w:pPr>
          </w:p>
        </w:tc>
        <w:tc>
          <w:tcPr>
            <w:tcW w:w="5746"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zCs w:val="28"/>
              </w:rPr>
            </w:pPr>
            <w:r>
              <w:rPr>
                <w:spacing w:val="8"/>
                <w:szCs w:val="24"/>
              </w:rPr>
              <w:t>9.</w:t>
            </w:r>
            <w:r>
              <w:rPr>
                <w:rFonts w:hint="eastAsia"/>
                <w:spacing w:val="8"/>
                <w:szCs w:val="24"/>
              </w:rPr>
              <w:t>2022年12月份增值税申报表主表，2022年度企业所得税申报表主表</w:t>
            </w:r>
            <w:r>
              <w:rPr>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7181"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p>
            <w:pPr>
              <w:ind w:firstLine="0" w:firstLineChars="0"/>
              <w:jc w:val="center"/>
              <w:rPr>
                <w:rFonts w:ascii="宋体" w:hAnsi="宋体"/>
                <w:szCs w:val="24"/>
              </w:rPr>
            </w:pPr>
          </w:p>
          <w:p>
            <w:pPr>
              <w:ind w:firstLine="0" w:firstLineChars="0"/>
              <w:rPr>
                <w:rFonts w:ascii="宋体" w:hAnsi="宋体"/>
                <w:szCs w:val="24"/>
              </w:rPr>
            </w:pPr>
          </w:p>
          <w:p>
            <w:pPr>
              <w:ind w:firstLine="0" w:firstLineChars="0"/>
              <w:rPr>
                <w:rFonts w:ascii="宋体" w:hAnsi="宋体"/>
                <w:szCs w:val="24"/>
              </w:rPr>
            </w:pPr>
          </w:p>
          <w:p>
            <w:pPr>
              <w:ind w:firstLine="0" w:firstLineChars="0"/>
              <w:rPr>
                <w:rFonts w:ascii="宋体" w:hAnsi="宋体"/>
                <w:szCs w:val="24"/>
              </w:rPr>
            </w:pPr>
          </w:p>
          <w:p>
            <w:pPr>
              <w:ind w:firstLine="0" w:firstLineChars="0"/>
              <w:rPr>
                <w:rFonts w:ascii="宋体" w:hAnsi="宋体"/>
                <w:szCs w:val="24"/>
              </w:rPr>
            </w:pPr>
          </w:p>
          <w:p>
            <w:pPr>
              <w:ind w:firstLine="0" w:firstLineChars="0"/>
              <w:rPr>
                <w:rFonts w:ascii="宋体" w:hAnsi="宋体"/>
                <w:szCs w:val="24"/>
              </w:rPr>
            </w:pPr>
          </w:p>
          <w:p>
            <w:pPr>
              <w:pStyle w:val="3"/>
              <w:spacing w:line="360" w:lineRule="auto"/>
              <w:ind w:firstLine="480"/>
              <w:rPr>
                <w:rFonts w:ascii="宋体" w:hAnsi="宋体"/>
                <w:szCs w:val="24"/>
              </w:rPr>
            </w:pPr>
          </w:p>
          <w:p>
            <w:pPr>
              <w:pStyle w:val="13"/>
              <w:ind w:firstLine="480"/>
              <w:rPr>
                <w:rFonts w:hAnsi="宋体"/>
                <w:szCs w:val="24"/>
              </w:rPr>
            </w:pPr>
          </w:p>
          <w:p>
            <w:pPr>
              <w:pStyle w:val="13"/>
              <w:ind w:firstLine="480"/>
              <w:rPr>
                <w:rFonts w:hAnsi="宋体"/>
                <w:szCs w:val="24"/>
              </w:rPr>
            </w:pPr>
          </w:p>
          <w:p>
            <w:pPr>
              <w:ind w:firstLine="0" w:firstLineChars="0"/>
              <w:jc w:val="left"/>
              <w:rPr>
                <w:rFonts w:ascii="宋体" w:hAnsi="宋体"/>
                <w:szCs w:val="24"/>
              </w:rPr>
            </w:pPr>
          </w:p>
        </w:tc>
      </w:tr>
      <w:bookmarkEnd w:id="200"/>
    </w:tbl>
    <w:p>
      <w:pPr>
        <w:ind w:firstLine="480"/>
      </w:pPr>
      <w:bookmarkStart w:id="201" w:name="_Toc1833652271"/>
      <w:bookmarkStart w:id="202" w:name="_Toc1325718528"/>
      <w:bookmarkStart w:id="203" w:name="_Toc21067"/>
      <w:bookmarkStart w:id="204" w:name="_Toc74931568"/>
      <w:bookmarkStart w:id="205" w:name="_Toc525713481"/>
      <w:bookmarkStart w:id="206" w:name="_Toc1191921080"/>
      <w:r>
        <w:rPr>
          <w:rFonts w:hint="eastAsia"/>
        </w:rPr>
        <w:br w:type="page"/>
      </w:r>
    </w:p>
    <w:p>
      <w:pPr>
        <w:pStyle w:val="28"/>
        <w:spacing w:before="312" w:line="360" w:lineRule="auto"/>
        <w:outlineLvl w:val="2"/>
        <w:rPr>
          <w:bCs/>
        </w:rPr>
      </w:pPr>
      <w:bookmarkStart w:id="207" w:name="_Toc130905482"/>
      <w:bookmarkStart w:id="208" w:name="_Toc138949351"/>
      <w:r>
        <w:rPr>
          <w:rFonts w:hint="eastAsia"/>
        </w:rPr>
        <w:t>第十四节 支持物流供应链企业高质高速发展</w:t>
      </w:r>
      <w:bookmarkEnd w:id="201"/>
      <w:bookmarkEnd w:id="202"/>
      <w:bookmarkEnd w:id="203"/>
      <w:bookmarkEnd w:id="204"/>
      <w:bookmarkEnd w:id="205"/>
      <w:bookmarkEnd w:id="206"/>
      <w:r>
        <w:rPr>
          <w:rFonts w:hint="eastAsia"/>
        </w:rPr>
        <w:t>专项资助</w:t>
      </w:r>
      <w:bookmarkEnd w:id="207"/>
      <w:bookmarkEnd w:id="208"/>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对坪山综保区内面积5000平方米以上、营业收入（不含供应链金融业务、代收代付和运输服务金额）快速增长的物流供应链服务企业给予奖励，标准如下：</w:t>
      </w:r>
      <w:bookmarkStart w:id="209" w:name="_Hlk115018894"/>
    </w:p>
    <w:p>
      <w:pPr>
        <w:ind w:firstLine="512"/>
        <w:rPr>
          <w:spacing w:val="8"/>
          <w:szCs w:val="24"/>
        </w:rPr>
      </w:pPr>
      <w:r>
        <w:rPr>
          <w:rFonts w:hint="eastAsia"/>
          <w:spacing w:val="8"/>
          <w:szCs w:val="24"/>
        </w:rPr>
        <w:t>1.营业收入2000万元</w:t>
      </w:r>
      <w:bookmarkEnd w:id="209"/>
      <w:r>
        <w:rPr>
          <w:rFonts w:hint="eastAsia"/>
          <w:spacing w:val="8"/>
          <w:szCs w:val="24"/>
        </w:rPr>
        <w:t>以上、1亿元以下，上年度增长10%以上，按增长部分的1%，给予最高50万元奖励。</w:t>
      </w:r>
    </w:p>
    <w:p>
      <w:pPr>
        <w:ind w:firstLine="512"/>
        <w:rPr>
          <w:spacing w:val="8"/>
          <w:szCs w:val="24"/>
        </w:rPr>
      </w:pPr>
      <w:r>
        <w:rPr>
          <w:rFonts w:hint="eastAsia"/>
          <w:spacing w:val="8"/>
          <w:szCs w:val="24"/>
        </w:rPr>
        <w:t>2.对营业收入1亿元以上、2亿元以下，上年度增长10%以上，按增长部分的1%，给予最高100万元奖励。</w:t>
      </w:r>
    </w:p>
    <w:p>
      <w:pPr>
        <w:ind w:firstLine="512"/>
        <w:rPr>
          <w:spacing w:val="8"/>
          <w:szCs w:val="24"/>
        </w:rPr>
      </w:pPr>
      <w:r>
        <w:rPr>
          <w:rFonts w:hint="eastAsia"/>
          <w:spacing w:val="8"/>
          <w:szCs w:val="24"/>
        </w:rPr>
        <w:t>3.营业收入2亿元以上，上年度增长10%以上，按增长部分的1%，给予最高200万元奖励。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申报主体原则上必须是统计地、纳税地均在坪山区，且注册地在坪山综合保税区内的企业；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rPr>
      </w:pPr>
      <w:r>
        <w:rPr>
          <w:rFonts w:hint="eastAsia"/>
          <w:spacing w:val="8"/>
          <w:szCs w:val="24"/>
        </w:rPr>
        <w:t>（二）有下列情况之一的，本条政策不予资助：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zCs w:val="28"/>
        </w:rPr>
        <w:t>、</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180"/>
        <w:gridCol w:w="595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180"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95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w:t>
            </w:r>
            <w:r>
              <w:rPr>
                <w:rFonts w:hint="eastAsia"/>
                <w:spacing w:val="8"/>
                <w:szCs w:val="24"/>
              </w:rPr>
              <w:t>《支持保税服务发展类—支持物流供应链企业高质高速发展专项资金项目申报书》</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180" w:type="dxa"/>
            <w:vMerge w:val="continue"/>
            <w:tcBorders>
              <w:left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180" w:type="dxa"/>
            <w:vMerge w:val="continue"/>
            <w:tcBorders>
              <w:left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180" w:type="dxa"/>
            <w:vMerge w:val="continue"/>
            <w:tcBorders>
              <w:left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180"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shd w:val="clear" w:color="auto" w:fill="FFFFFF" w:themeFill="background1"/>
            <w:vAlign w:val="center"/>
          </w:tcPr>
          <w:p>
            <w:pPr>
              <w:ind w:firstLine="0" w:firstLineChars="0"/>
              <w:rPr>
                <w:rFonts w:ascii="宋体" w:hAnsi="宋体"/>
                <w:szCs w:val="24"/>
              </w:rPr>
            </w:pPr>
            <w:r>
              <w:rPr>
                <w:rFonts w:hint="eastAsia" w:ascii="宋体" w:hAnsi="宋体"/>
                <w:szCs w:val="24"/>
              </w:rPr>
              <w:t>（二）</w:t>
            </w:r>
          </w:p>
        </w:tc>
        <w:tc>
          <w:tcPr>
            <w:tcW w:w="1180" w:type="dxa"/>
            <w:vMerge w:val="restart"/>
            <w:tcBorders>
              <w:top w:val="single" w:color="auto" w:sz="4" w:space="0"/>
              <w:left w:val="single" w:color="auto" w:sz="4" w:space="0"/>
              <w:right w:val="single" w:color="auto" w:sz="4" w:space="0"/>
            </w:tcBorders>
            <w:shd w:val="clear" w:color="auto" w:fill="FFFFFF" w:themeFill="background1"/>
            <w:vAlign w:val="center"/>
          </w:tcPr>
          <w:p>
            <w:pPr>
              <w:ind w:firstLine="0" w:firstLineChars="0"/>
              <w:jc w:val="center"/>
              <w:rPr>
                <w:szCs w:val="28"/>
              </w:rPr>
            </w:pPr>
            <w:r>
              <w:rPr>
                <w:rFonts w:hint="eastAsia"/>
                <w:szCs w:val="28"/>
              </w:rPr>
              <w:t>申报第本条资助的还需同时提供</w:t>
            </w:r>
          </w:p>
        </w:tc>
        <w:tc>
          <w:tcPr>
            <w:tcW w:w="59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ind w:left="192" w:hanging="192" w:hangingChars="80"/>
              <w:rPr>
                <w:szCs w:val="28"/>
              </w:rPr>
            </w:pPr>
            <w:r>
              <w:rPr>
                <w:rFonts w:hint="eastAsia"/>
                <w:szCs w:val="28"/>
              </w:rPr>
              <w:t>6</w:t>
            </w:r>
            <w:r>
              <w:rPr>
                <w:szCs w:val="28"/>
              </w:rPr>
              <w:t>.</w:t>
            </w:r>
            <w:r>
              <w:rPr>
                <w:rFonts w:hint="eastAsia"/>
                <w:szCs w:val="28"/>
              </w:rPr>
              <w:t>租赁合同、街道等政府部门或有关单位出具的租赁凭证或场所使用证明；</w:t>
            </w:r>
          </w:p>
        </w:tc>
        <w:tc>
          <w:tcPr>
            <w:tcW w:w="83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shd w:val="clear" w:color="auto" w:fill="FFFFFF" w:themeFill="background1"/>
            <w:vAlign w:val="center"/>
          </w:tcPr>
          <w:p>
            <w:pPr>
              <w:ind w:firstLine="0" w:firstLineChars="0"/>
              <w:jc w:val="center"/>
              <w:rPr>
                <w:rFonts w:ascii="宋体" w:hAnsi="宋体"/>
                <w:szCs w:val="24"/>
              </w:rPr>
            </w:pPr>
          </w:p>
        </w:tc>
        <w:tc>
          <w:tcPr>
            <w:tcW w:w="1180" w:type="dxa"/>
            <w:vMerge w:val="continue"/>
            <w:tcBorders>
              <w:left w:val="single" w:color="auto" w:sz="4" w:space="0"/>
              <w:bottom w:val="single" w:color="auto" w:sz="4" w:space="0"/>
              <w:right w:val="single" w:color="auto" w:sz="4" w:space="0"/>
            </w:tcBorders>
            <w:shd w:val="clear" w:color="auto" w:fill="FFFFFF" w:themeFill="background1"/>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ind w:left="192" w:hanging="192" w:hangingChars="80"/>
              <w:rPr>
                <w:szCs w:val="28"/>
              </w:rPr>
            </w:pPr>
            <w:r>
              <w:rPr>
                <w:rFonts w:hint="eastAsia"/>
                <w:szCs w:val="28"/>
              </w:rPr>
              <w:t>7</w:t>
            </w:r>
            <w:r>
              <w:rPr>
                <w:szCs w:val="28"/>
              </w:rPr>
              <w:t>.</w:t>
            </w:r>
            <w:r>
              <w:rPr>
                <w:rFonts w:hint="eastAsia"/>
                <w:szCs w:val="28"/>
              </w:rPr>
              <w:t>经注册会计师</w:t>
            </w:r>
            <w:r>
              <w:rPr>
                <w:rFonts w:hint="eastAsia"/>
                <w:spacing w:val="8"/>
                <w:szCs w:val="24"/>
              </w:rPr>
              <w:t>行业</w:t>
            </w:r>
            <w:r>
              <w:rPr>
                <w:rFonts w:hint="eastAsia"/>
                <w:szCs w:val="28"/>
              </w:rPr>
              <w:t>统一监管平台备案的营业收入专项</w:t>
            </w:r>
            <w:r>
              <w:rPr>
                <w:rFonts w:hint="eastAsia"/>
                <w:spacing w:val="8"/>
                <w:szCs w:val="24"/>
              </w:rPr>
              <w:t>审计</w:t>
            </w:r>
            <w:r>
              <w:rPr>
                <w:rFonts w:hint="eastAsia"/>
                <w:szCs w:val="28"/>
              </w:rPr>
              <w:t>报告（格式参见第六部分</w:t>
            </w:r>
            <w:r>
              <w:rPr>
                <w:rFonts w:hint="eastAsia"/>
                <w:spacing w:val="8"/>
                <w:szCs w:val="24"/>
              </w:rPr>
              <w:t>《项目专项审计报告提纲》</w:t>
            </w:r>
            <w:r>
              <w:rPr>
                <w:rFonts w:hint="eastAsia"/>
                <w:szCs w:val="28"/>
              </w:rPr>
              <w:t>）（验原件，收复印件）；</w:t>
            </w:r>
          </w:p>
        </w:tc>
        <w:tc>
          <w:tcPr>
            <w:tcW w:w="83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shd w:val="clear" w:color="auto" w:fill="FFFFFF" w:themeFill="background1"/>
            <w:vAlign w:val="center"/>
          </w:tcPr>
          <w:p>
            <w:pPr>
              <w:ind w:firstLine="0" w:firstLineChars="0"/>
              <w:jc w:val="center"/>
              <w:rPr>
                <w:rFonts w:ascii="宋体" w:hAnsi="宋体"/>
                <w:szCs w:val="24"/>
              </w:rPr>
            </w:pPr>
          </w:p>
        </w:tc>
        <w:tc>
          <w:tcPr>
            <w:tcW w:w="1180" w:type="dxa"/>
            <w:vMerge w:val="continue"/>
            <w:tcBorders>
              <w:left w:val="single" w:color="auto" w:sz="4" w:space="0"/>
              <w:bottom w:val="single" w:color="auto" w:sz="4" w:space="0"/>
              <w:right w:val="single" w:color="auto" w:sz="4" w:space="0"/>
            </w:tcBorders>
            <w:shd w:val="clear" w:color="auto" w:fill="FFFFFF" w:themeFill="background1"/>
            <w:vAlign w:val="center"/>
          </w:tcPr>
          <w:p>
            <w:pPr>
              <w:ind w:firstLine="0" w:firstLineChars="0"/>
              <w:jc w:val="center"/>
              <w:rPr>
                <w:szCs w:val="28"/>
              </w:rPr>
            </w:pPr>
          </w:p>
        </w:tc>
        <w:tc>
          <w:tcPr>
            <w:tcW w:w="59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ind w:left="192" w:hanging="192" w:hangingChars="80"/>
              <w:rPr>
                <w:szCs w:val="28"/>
              </w:rPr>
            </w:pPr>
            <w:r>
              <w:rPr>
                <w:szCs w:val="28"/>
              </w:rPr>
              <w:t>8</w:t>
            </w:r>
            <w:r>
              <w:rPr>
                <w:rFonts w:hint="eastAsia"/>
                <w:szCs w:val="28"/>
              </w:rPr>
              <w:t>.</w:t>
            </w:r>
            <w:r>
              <w:rPr>
                <w:rFonts w:hint="eastAsia"/>
                <w:spacing w:val="8"/>
                <w:szCs w:val="24"/>
              </w:rPr>
              <w:t>2021、2022年12月份增值税申报表主表，2021、2022年度企业所得税申报表主表；</w:t>
            </w:r>
          </w:p>
        </w:tc>
        <w:tc>
          <w:tcPr>
            <w:tcW w:w="83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rPr>
                <w:rFonts w:ascii="宋体" w:hAnsi="宋体"/>
                <w:szCs w:val="24"/>
              </w:rPr>
            </w:pPr>
          </w:p>
          <w:p>
            <w:pPr>
              <w:ind w:firstLine="0" w:firstLineChars="0"/>
              <w:jc w:val="left"/>
              <w:rPr>
                <w:rFonts w:ascii="宋体" w:hAnsi="宋体"/>
                <w:szCs w:val="24"/>
              </w:rPr>
            </w:pPr>
          </w:p>
        </w:tc>
      </w:tr>
    </w:tbl>
    <w:p>
      <w:pPr>
        <w:ind w:firstLine="480"/>
      </w:pPr>
      <w:bookmarkStart w:id="210" w:name="_Toc74931569"/>
      <w:bookmarkStart w:id="211" w:name="_Toc2128695039"/>
      <w:bookmarkStart w:id="212" w:name="_Toc1039336512"/>
      <w:bookmarkStart w:id="213" w:name="_Toc689763328"/>
      <w:bookmarkStart w:id="214" w:name="_Toc454765486"/>
      <w:bookmarkStart w:id="215" w:name="_Toc14085"/>
      <w:r>
        <w:rPr>
          <w:rFonts w:hint="eastAsia"/>
        </w:rPr>
        <w:br w:type="page"/>
      </w:r>
    </w:p>
    <w:p>
      <w:pPr>
        <w:pStyle w:val="28"/>
        <w:spacing w:before="312" w:line="360" w:lineRule="auto"/>
        <w:outlineLvl w:val="2"/>
        <w:rPr>
          <w:bCs/>
        </w:rPr>
      </w:pPr>
      <w:bookmarkStart w:id="216" w:name="_Toc138949352"/>
      <w:bookmarkStart w:id="217" w:name="_Toc130905483"/>
      <w:r>
        <w:rPr>
          <w:rFonts w:hint="eastAsia"/>
        </w:rPr>
        <w:t>第十五节 支持建设运营公共服务平台发展专项资助</w:t>
      </w:r>
      <w:bookmarkEnd w:id="216"/>
      <w:bookmarkEnd w:id="217"/>
    </w:p>
    <w:p>
      <w:pPr>
        <w:ind w:firstLine="514"/>
        <w:rPr>
          <w:b/>
          <w:bCs/>
          <w:spacing w:val="8"/>
          <w:szCs w:val="24"/>
        </w:rPr>
      </w:pPr>
      <w:r>
        <w:rPr>
          <w:rFonts w:hint="eastAsia"/>
          <w:b/>
          <w:bCs/>
          <w:spacing w:val="8"/>
          <w:szCs w:val="24"/>
        </w:rPr>
        <w:t>一、政策内容</w:t>
      </w:r>
    </w:p>
    <w:p>
      <w:pPr>
        <w:ind w:firstLine="480"/>
      </w:pPr>
      <w:bookmarkStart w:id="218" w:name="_Hlk129939826"/>
      <w:bookmarkStart w:id="219" w:name="_Hlk115021420"/>
      <w:r>
        <w:rPr>
          <w:rFonts w:hint="eastAsia"/>
        </w:rPr>
        <w:t>（一）</w:t>
      </w:r>
      <w:bookmarkEnd w:id="218"/>
      <w:r>
        <w:rPr>
          <w:rFonts w:hint="eastAsia"/>
        </w:rPr>
        <w:t>支持建设公共服务平台。对在坪山综保区建设服务生物医药、新一代信息技术或新能源汽车等产业的公共服务平台，为企业提供保税存储、检测维修、通关查验等专业服务，上年度购置软硬件设施及装修费用投入100万元以上的，经区工信部门备案，按实际投入的30%，给予平台建设主体最高300万元资助。</w:t>
      </w:r>
    </w:p>
    <w:p>
      <w:pPr>
        <w:ind w:firstLine="480"/>
      </w:pPr>
      <w:r>
        <w:rPr>
          <w:rFonts w:hint="eastAsia"/>
        </w:rPr>
        <w:t>（二）支持公共服务平台推广。对利用坪山综保区检测维修公共服务平台开展自产产品检测维修业务的坪山区规上工业企业，实际支付保税检测维修服务费用50万元以上的，按实际支付费用的10%，给予最高10万元资助。</w:t>
      </w:r>
    </w:p>
    <w:bookmarkEnd w:id="219"/>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rPr>
      </w:pPr>
      <w:r>
        <w:rPr>
          <w:rFonts w:hint="eastAsia"/>
          <w:spacing w:val="8"/>
          <w:szCs w:val="24"/>
        </w:rPr>
        <w:t>（二）申报本条资助的，可不受上年度区级财力贡献限制。</w:t>
      </w:r>
    </w:p>
    <w:p>
      <w:pPr>
        <w:ind w:firstLine="512"/>
        <w:rPr>
          <w:spacing w:val="8"/>
          <w:szCs w:val="24"/>
        </w:rPr>
      </w:pPr>
      <w:r>
        <w:rPr>
          <w:rFonts w:hint="eastAsia"/>
          <w:spacing w:val="8"/>
          <w:szCs w:val="24"/>
        </w:rPr>
        <w:t>（三）申报本条第（二）款资助的，可不受本措施申报主体限制。</w:t>
      </w:r>
    </w:p>
    <w:p>
      <w:pPr>
        <w:ind w:firstLine="512"/>
        <w:rPr>
          <w:spacing w:val="8"/>
          <w:szCs w:val="24"/>
        </w:rPr>
      </w:pPr>
      <w:r>
        <w:rPr>
          <w:rFonts w:hint="eastAsia"/>
          <w:spacing w:val="8"/>
          <w:szCs w:val="24"/>
        </w:rPr>
        <w:t>（四）申报本条第（二）款资助的，须是规模以上工业企业。工业企业以相关部门界定为审核依据，其中，纳统企业以国家统计局统计联网直报平台的行业代码前两位在13到42之间为准；</w:t>
      </w:r>
    </w:p>
    <w:p>
      <w:pPr>
        <w:ind w:firstLine="512"/>
        <w:rPr>
          <w:spacing w:val="8"/>
          <w:szCs w:val="24"/>
        </w:rPr>
      </w:pPr>
      <w:r>
        <w:rPr>
          <w:rFonts w:hint="eastAsia"/>
          <w:spacing w:val="8"/>
          <w:szCs w:val="24"/>
        </w:rPr>
        <w:t>（五）有下列情况之一的，本条政策不予资助：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（六）申报本条第（一）款资助的，须先备案后申报（备案指南另行发布）。</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zCs w:val="28"/>
        </w:rPr>
        <w:t>、</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14"/>
        <w:gridCol w:w="5720"/>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14"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72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w:t>
            </w:r>
            <w:r>
              <w:rPr>
                <w:rFonts w:hint="eastAsia"/>
                <w:spacing w:val="8"/>
                <w:szCs w:val="24"/>
              </w:rPr>
              <w:t>《支持保税服务发展类—支持建设运营公共服务平台发展专项资金项目申报书》</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14" w:type="dxa"/>
            <w:vMerge w:val="continue"/>
            <w:tcBorders>
              <w:left w:val="single" w:color="auto" w:sz="4" w:space="0"/>
              <w:right w:val="single" w:color="auto" w:sz="4" w:space="0"/>
            </w:tcBorders>
            <w:vAlign w:val="center"/>
          </w:tcPr>
          <w:p>
            <w:pPr>
              <w:ind w:firstLine="0" w:firstLineChars="0"/>
              <w:jc w:val="center"/>
              <w:rPr>
                <w:szCs w:val="28"/>
              </w:rPr>
            </w:pPr>
          </w:p>
        </w:tc>
        <w:tc>
          <w:tcPr>
            <w:tcW w:w="572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14" w:type="dxa"/>
            <w:vMerge w:val="continue"/>
            <w:tcBorders>
              <w:left w:val="single" w:color="auto" w:sz="4" w:space="0"/>
              <w:right w:val="single" w:color="auto" w:sz="4" w:space="0"/>
            </w:tcBorders>
            <w:vAlign w:val="center"/>
          </w:tcPr>
          <w:p>
            <w:pPr>
              <w:ind w:firstLine="0" w:firstLineChars="0"/>
              <w:jc w:val="center"/>
              <w:rPr>
                <w:szCs w:val="28"/>
              </w:rPr>
            </w:pPr>
          </w:p>
        </w:tc>
        <w:tc>
          <w:tcPr>
            <w:tcW w:w="572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14" w:type="dxa"/>
            <w:vMerge w:val="continue"/>
            <w:tcBorders>
              <w:left w:val="single" w:color="auto" w:sz="4" w:space="0"/>
              <w:right w:val="single" w:color="auto" w:sz="4" w:space="0"/>
            </w:tcBorders>
            <w:vAlign w:val="center"/>
          </w:tcPr>
          <w:p>
            <w:pPr>
              <w:ind w:firstLine="0" w:firstLineChars="0"/>
              <w:jc w:val="center"/>
              <w:rPr>
                <w:szCs w:val="28"/>
              </w:rPr>
            </w:pPr>
          </w:p>
        </w:tc>
        <w:tc>
          <w:tcPr>
            <w:tcW w:w="572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414"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72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14"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申报本条第（一）款资助的还需同时提供</w:t>
            </w:r>
          </w:p>
        </w:tc>
        <w:tc>
          <w:tcPr>
            <w:tcW w:w="5720"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6.</w:t>
            </w:r>
            <w:r>
              <w:rPr>
                <w:spacing w:val="8"/>
                <w:szCs w:val="24"/>
              </w:rPr>
              <w:t>购置</w:t>
            </w:r>
            <w:r>
              <w:rPr>
                <w:rFonts w:hint="eastAsia"/>
                <w:spacing w:val="8"/>
                <w:szCs w:val="24"/>
              </w:rPr>
              <w:t>软硬件</w:t>
            </w:r>
            <w:r>
              <w:rPr>
                <w:spacing w:val="8"/>
                <w:szCs w:val="24"/>
              </w:rPr>
              <w:t>设施、</w:t>
            </w:r>
            <w:r>
              <w:rPr>
                <w:rFonts w:hint="eastAsia"/>
                <w:spacing w:val="8"/>
                <w:szCs w:val="24"/>
              </w:rPr>
              <w:t>装修的</w:t>
            </w:r>
            <w:r>
              <w:rPr>
                <w:spacing w:val="8"/>
                <w:szCs w:val="24"/>
              </w:rPr>
              <w:t>合同、发票、支付凭证</w:t>
            </w:r>
            <w:r>
              <w:rPr>
                <w:rFonts w:hint="eastAsia"/>
                <w:spacing w:val="8"/>
                <w:szCs w:val="24"/>
              </w:rPr>
              <w:t>，经注册会计师行业统一监管平台备案的</w:t>
            </w:r>
            <w:r>
              <w:rPr>
                <w:spacing w:val="8"/>
                <w:szCs w:val="24"/>
              </w:rPr>
              <w:t>专项审计报告</w:t>
            </w:r>
            <w:r>
              <w:rPr>
                <w:rFonts w:hint="eastAsia"/>
                <w:szCs w:val="28"/>
              </w:rPr>
              <w:t>（格式参见第六部分</w:t>
            </w:r>
            <w:r>
              <w:rPr>
                <w:rFonts w:hint="eastAsia"/>
                <w:spacing w:val="8"/>
                <w:szCs w:val="24"/>
              </w:rPr>
              <w:t>《项目专项审计报告提纲》</w:t>
            </w:r>
            <w:r>
              <w:rPr>
                <w:rFonts w:hint="eastAsia"/>
                <w:szCs w:val="28"/>
              </w:rPr>
              <w:t>）</w:t>
            </w:r>
            <w:r>
              <w:rPr>
                <w:spacing w:val="8"/>
                <w:szCs w:val="24"/>
              </w:rPr>
              <w:t>（验原件</w:t>
            </w:r>
            <w:r>
              <w:rPr>
                <w:rFonts w:hint="eastAsia"/>
                <w:spacing w:val="8"/>
                <w:szCs w:val="24"/>
              </w:rPr>
              <w:t>，</w:t>
            </w:r>
            <w:r>
              <w:rPr>
                <w:spacing w:val="8"/>
                <w:szCs w:val="24"/>
              </w:rPr>
              <w:t>收复印件）</w:t>
            </w:r>
            <w:r>
              <w:rPr>
                <w:rFonts w:hint="eastAsia"/>
                <w:spacing w:val="8"/>
                <w:szCs w:val="24"/>
              </w:rPr>
              <w:t>；区工信部门备案证明；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414"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申报本条第（二）款资助的还需同时提供</w:t>
            </w:r>
          </w:p>
        </w:tc>
        <w:tc>
          <w:tcPr>
            <w:tcW w:w="5720"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spacing w:val="8"/>
                <w:szCs w:val="24"/>
              </w:rPr>
              <w:t>7.</w:t>
            </w:r>
            <w:r>
              <w:rPr>
                <w:rFonts w:hint="eastAsia"/>
                <w:spacing w:val="8"/>
                <w:szCs w:val="24"/>
              </w:rPr>
              <w:t>与平台签订的服务</w:t>
            </w:r>
            <w:r>
              <w:rPr>
                <w:spacing w:val="8"/>
                <w:szCs w:val="24"/>
              </w:rPr>
              <w:t>合同、发票</w:t>
            </w:r>
            <w:r>
              <w:rPr>
                <w:rFonts w:hint="eastAsia"/>
                <w:spacing w:val="8"/>
                <w:szCs w:val="24"/>
              </w:rPr>
              <w:t>、支付凭证（验原件，收复印件）；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rPr>
                <w:rFonts w:ascii="宋体" w:hAnsi="宋体"/>
                <w:szCs w:val="24"/>
              </w:rPr>
            </w:pPr>
          </w:p>
          <w:p>
            <w:pPr>
              <w:pStyle w:val="2"/>
              <w:spacing w:line="360" w:lineRule="auto"/>
              <w:ind w:firstLine="0" w:firstLineChars="0"/>
              <w:rPr>
                <w:rFonts w:ascii="宋体" w:hAnsi="宋体"/>
                <w:szCs w:val="24"/>
              </w:rPr>
            </w:pPr>
          </w:p>
          <w:p>
            <w:pPr>
              <w:pStyle w:val="2"/>
              <w:spacing w:line="360" w:lineRule="auto"/>
              <w:ind w:firstLine="0" w:firstLineChars="0"/>
              <w:rPr>
                <w:rFonts w:ascii="宋体" w:hAnsi="宋体"/>
                <w:szCs w:val="24"/>
              </w:rPr>
            </w:pPr>
          </w:p>
          <w:p>
            <w:pPr>
              <w:pStyle w:val="2"/>
              <w:spacing w:line="360" w:lineRule="auto"/>
              <w:ind w:firstLine="0" w:firstLineChars="0"/>
              <w:rPr>
                <w:rFonts w:ascii="宋体" w:hAnsi="宋体"/>
                <w:szCs w:val="24"/>
              </w:rPr>
            </w:pPr>
          </w:p>
          <w:p>
            <w:pPr>
              <w:ind w:firstLine="0" w:firstLineChars="0"/>
              <w:jc w:val="left"/>
              <w:rPr>
                <w:rFonts w:ascii="宋体" w:hAnsi="宋体"/>
                <w:szCs w:val="24"/>
              </w:rPr>
            </w:pPr>
          </w:p>
        </w:tc>
      </w:tr>
    </w:tbl>
    <w:p>
      <w:pPr>
        <w:ind w:firstLine="480"/>
      </w:pPr>
      <w:r>
        <w:rPr>
          <w:rFonts w:hint="eastAsia"/>
        </w:rPr>
        <w:br w:type="page"/>
      </w:r>
    </w:p>
    <w:p>
      <w:pPr>
        <w:pStyle w:val="28"/>
        <w:spacing w:before="312" w:line="360" w:lineRule="auto"/>
        <w:outlineLvl w:val="2"/>
        <w:rPr>
          <w:bCs/>
        </w:rPr>
      </w:pPr>
      <w:bookmarkStart w:id="220" w:name="_Toc138949353"/>
      <w:bookmarkStart w:id="221" w:name="_Toc130905484"/>
      <w:r>
        <w:rPr>
          <w:rFonts w:hint="eastAsia"/>
        </w:rPr>
        <w:t>第十六节 支持通关环境提升专项资助</w:t>
      </w:r>
      <w:bookmarkEnd w:id="220"/>
      <w:bookmarkEnd w:id="221"/>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对在坪山综保区通关查验合规的企业，给予查验吊装、移位、仓储费用的全额资助。</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rPr>
      </w:pPr>
      <w:r>
        <w:rPr>
          <w:rFonts w:hint="eastAsia"/>
          <w:spacing w:val="8"/>
          <w:szCs w:val="24"/>
        </w:rPr>
        <w:t>（二）申报本条资助的，可不受本措施申报主体限制。</w:t>
      </w:r>
    </w:p>
    <w:p>
      <w:pPr>
        <w:ind w:firstLine="512"/>
        <w:rPr>
          <w:spacing w:val="8"/>
          <w:szCs w:val="24"/>
        </w:rPr>
      </w:pPr>
      <w:r>
        <w:rPr>
          <w:rFonts w:hint="eastAsia"/>
          <w:spacing w:val="8"/>
          <w:szCs w:val="24"/>
        </w:rPr>
        <w:t>（三）有下列情况之一的，本条政策不予资助：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zCs w:val="28"/>
        </w:rPr>
        <w:t>、</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01"/>
        <w:gridCol w:w="5287"/>
        <w:gridCol w:w="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668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01"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287"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1.</w:t>
            </w:r>
            <w:r>
              <w:rPr>
                <w:rFonts w:hint="eastAsia"/>
                <w:spacing w:val="8"/>
                <w:szCs w:val="24"/>
              </w:rPr>
              <w:t>《支持保税服务发展类—支持通关环境提升专项资金项目申报书》</w:t>
            </w:r>
            <w:r>
              <w:rPr>
                <w:rFonts w:hint="eastAsia"/>
                <w:szCs w:val="28"/>
              </w:rPr>
              <w:t>；</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01" w:type="dxa"/>
            <w:vMerge w:val="continue"/>
            <w:tcBorders>
              <w:left w:val="single" w:color="auto" w:sz="4" w:space="0"/>
              <w:right w:val="single" w:color="auto" w:sz="4" w:space="0"/>
            </w:tcBorders>
            <w:vAlign w:val="center"/>
          </w:tcPr>
          <w:p>
            <w:pPr>
              <w:ind w:firstLine="0" w:firstLineChars="0"/>
              <w:jc w:val="center"/>
              <w:rPr>
                <w:szCs w:val="28"/>
              </w:rPr>
            </w:pPr>
          </w:p>
        </w:tc>
        <w:tc>
          <w:tcPr>
            <w:tcW w:w="5287"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01" w:type="dxa"/>
            <w:vMerge w:val="continue"/>
            <w:tcBorders>
              <w:left w:val="single" w:color="auto" w:sz="4" w:space="0"/>
              <w:right w:val="single" w:color="auto" w:sz="4" w:space="0"/>
            </w:tcBorders>
            <w:vAlign w:val="center"/>
          </w:tcPr>
          <w:p>
            <w:pPr>
              <w:ind w:firstLine="0" w:firstLineChars="0"/>
              <w:jc w:val="center"/>
              <w:rPr>
                <w:szCs w:val="28"/>
              </w:rPr>
            </w:pPr>
          </w:p>
        </w:tc>
        <w:tc>
          <w:tcPr>
            <w:tcW w:w="5287"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3.法定代表人身份证复印件和签字样本；</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01" w:type="dxa"/>
            <w:vMerge w:val="continue"/>
            <w:tcBorders>
              <w:left w:val="single" w:color="auto" w:sz="4" w:space="0"/>
              <w:right w:val="single" w:color="auto" w:sz="4" w:space="0"/>
            </w:tcBorders>
            <w:vAlign w:val="center"/>
          </w:tcPr>
          <w:p>
            <w:pPr>
              <w:ind w:firstLine="0" w:firstLineChars="0"/>
              <w:jc w:val="center"/>
              <w:rPr>
                <w:szCs w:val="28"/>
              </w:rPr>
            </w:pPr>
          </w:p>
        </w:tc>
        <w:tc>
          <w:tcPr>
            <w:tcW w:w="5287"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4.2022年度纳税证明；</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401"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287"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0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申报本条资助的还需同时提供</w:t>
            </w:r>
          </w:p>
        </w:tc>
        <w:tc>
          <w:tcPr>
            <w:tcW w:w="5287"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6.2022年查验费用明细表（格式参见第六部分《2022年查验费用明细表》）、2022年在坪山区海关特殊监管区域通关查验费用凭证（发票、作业清单、银行付款单据）、海关查验单和相对应的报关单（验原件，收复印件）；</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668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47"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547"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rPr>
                <w:rFonts w:ascii="宋体" w:hAnsi="宋体"/>
                <w:szCs w:val="24"/>
              </w:rPr>
            </w:pPr>
          </w:p>
          <w:p>
            <w:pPr>
              <w:pStyle w:val="2"/>
              <w:spacing w:line="360" w:lineRule="auto"/>
              <w:ind w:firstLine="0" w:firstLineChars="0"/>
              <w:rPr>
                <w:rFonts w:ascii="宋体" w:hAnsi="宋体"/>
                <w:szCs w:val="24"/>
              </w:rPr>
            </w:pPr>
          </w:p>
          <w:p>
            <w:pPr>
              <w:pStyle w:val="2"/>
              <w:spacing w:line="360" w:lineRule="auto"/>
              <w:ind w:firstLine="0" w:firstLineChars="0"/>
              <w:rPr>
                <w:rFonts w:ascii="宋体" w:hAnsi="宋体"/>
                <w:szCs w:val="24"/>
              </w:rPr>
            </w:pPr>
          </w:p>
          <w:p>
            <w:pPr>
              <w:pStyle w:val="2"/>
              <w:spacing w:line="360" w:lineRule="auto"/>
              <w:ind w:firstLine="0" w:firstLineChars="0"/>
              <w:rPr>
                <w:rFonts w:ascii="宋体" w:hAnsi="宋体"/>
                <w:szCs w:val="24"/>
              </w:rPr>
            </w:pPr>
          </w:p>
          <w:p>
            <w:pPr>
              <w:ind w:firstLine="0" w:firstLineChars="0"/>
              <w:jc w:val="left"/>
              <w:rPr>
                <w:rFonts w:ascii="宋体" w:hAnsi="宋体"/>
                <w:szCs w:val="24"/>
              </w:rPr>
            </w:pPr>
          </w:p>
        </w:tc>
      </w:tr>
    </w:tbl>
    <w:p>
      <w:pPr>
        <w:ind w:firstLine="560"/>
        <w:rPr>
          <w:rFonts w:ascii="黑体" w:hAnsi="黑体" w:eastAsia="黑体" w:cs="黑体"/>
          <w:sz w:val="28"/>
          <w:szCs w:val="28"/>
        </w:rPr>
      </w:pPr>
      <w:r>
        <w:rPr>
          <w:rFonts w:hint="eastAsia" w:ascii="黑体" w:hAnsi="黑体" w:eastAsia="黑体" w:cs="黑体"/>
          <w:sz w:val="28"/>
          <w:szCs w:val="28"/>
        </w:rPr>
        <w:br w:type="page"/>
      </w:r>
    </w:p>
    <w:p>
      <w:pPr>
        <w:pStyle w:val="5"/>
        <w:spacing w:line="360" w:lineRule="auto"/>
        <w:ind w:firstLine="0" w:firstLineChars="0"/>
        <w:jc w:val="center"/>
        <w:rPr>
          <w:rFonts w:ascii="黑体" w:hAnsi="黑体" w:eastAsia="黑体" w:cs="黑体"/>
          <w:bCs w:val="0"/>
          <w:sz w:val="32"/>
        </w:rPr>
      </w:pPr>
      <w:bookmarkStart w:id="222" w:name="_Toc130905485"/>
      <w:bookmarkStart w:id="223" w:name="_Toc138949354"/>
      <w:r>
        <w:rPr>
          <w:rFonts w:hint="eastAsia" w:ascii="黑体" w:hAnsi="黑体" w:eastAsia="黑体" w:cs="黑体"/>
          <w:bCs w:val="0"/>
          <w:sz w:val="28"/>
          <w:szCs w:val="28"/>
        </w:rPr>
        <w:t>第六章 支持服务业新业态发展</w:t>
      </w:r>
      <w:bookmarkEnd w:id="210"/>
      <w:bookmarkEnd w:id="211"/>
      <w:bookmarkEnd w:id="212"/>
      <w:bookmarkEnd w:id="213"/>
      <w:bookmarkEnd w:id="214"/>
      <w:bookmarkEnd w:id="215"/>
      <w:bookmarkEnd w:id="222"/>
      <w:bookmarkEnd w:id="223"/>
    </w:p>
    <w:p>
      <w:pPr>
        <w:pStyle w:val="28"/>
        <w:spacing w:before="312" w:line="360" w:lineRule="auto"/>
        <w:outlineLvl w:val="2"/>
        <w:rPr>
          <w:bCs/>
        </w:rPr>
      </w:pPr>
      <w:bookmarkStart w:id="224" w:name="_Toc24102"/>
      <w:bookmarkStart w:id="225" w:name="_Toc577895075"/>
      <w:bookmarkStart w:id="226" w:name="_Toc976485811"/>
      <w:bookmarkStart w:id="227" w:name="_Toc74931570"/>
      <w:bookmarkStart w:id="228" w:name="_Toc1633829954"/>
      <w:bookmarkStart w:id="229" w:name="_Toc748394426"/>
      <w:bookmarkStart w:id="230" w:name="_Toc130905486"/>
      <w:bookmarkStart w:id="231" w:name="_Toc138949355"/>
      <w:r>
        <w:rPr>
          <w:rFonts w:hint="eastAsia"/>
        </w:rPr>
        <w:t xml:space="preserve">第十七节 </w:t>
      </w:r>
      <w:bookmarkEnd w:id="224"/>
      <w:bookmarkEnd w:id="225"/>
      <w:bookmarkEnd w:id="226"/>
      <w:bookmarkEnd w:id="227"/>
      <w:bookmarkEnd w:id="228"/>
      <w:bookmarkEnd w:id="229"/>
      <w:r>
        <w:rPr>
          <w:rFonts w:hint="eastAsia"/>
        </w:rPr>
        <w:t>支持贸易型总部集聚发展专项资助</w:t>
      </w:r>
      <w:bookmarkEnd w:id="230"/>
      <w:bookmarkEnd w:id="231"/>
    </w:p>
    <w:p>
      <w:pPr>
        <w:ind w:firstLine="514"/>
        <w:rPr>
          <w:b/>
          <w:bCs/>
          <w:spacing w:val="8"/>
          <w:szCs w:val="24"/>
        </w:rPr>
      </w:pPr>
      <w:bookmarkStart w:id="232" w:name="_Toc74931571"/>
      <w:bookmarkStart w:id="233" w:name="_Toc241969424"/>
      <w:bookmarkStart w:id="234" w:name="_Toc1046075065"/>
      <w:bookmarkStart w:id="235" w:name="_Toc1351720508"/>
      <w:bookmarkStart w:id="236" w:name="_Toc7051"/>
      <w:bookmarkStart w:id="237" w:name="_Toc891859061"/>
      <w:r>
        <w:rPr>
          <w:rFonts w:hint="eastAsia"/>
          <w:b/>
          <w:bCs/>
          <w:spacing w:val="8"/>
          <w:szCs w:val="24"/>
        </w:rPr>
        <w:t>一、政策内容</w:t>
      </w:r>
    </w:p>
    <w:p>
      <w:pPr>
        <w:ind w:firstLine="512"/>
        <w:rPr>
          <w:spacing w:val="8"/>
          <w:szCs w:val="24"/>
        </w:rPr>
      </w:pPr>
      <w:r>
        <w:rPr>
          <w:rFonts w:hint="eastAsia"/>
          <w:spacing w:val="8"/>
          <w:szCs w:val="24"/>
        </w:rPr>
        <w:t>（一）支持贸易型总部认定。对新迁入或新获评的市级贸易型总部企业，给予50万元一次性奖励。</w:t>
      </w:r>
    </w:p>
    <w:p>
      <w:pPr>
        <w:ind w:firstLine="512"/>
        <w:rPr>
          <w:spacing w:val="8"/>
          <w:szCs w:val="24"/>
        </w:rPr>
      </w:pPr>
      <w:r>
        <w:rPr>
          <w:rFonts w:hint="eastAsia"/>
          <w:spacing w:val="8"/>
          <w:szCs w:val="24"/>
        </w:rPr>
        <w:t>（二）支持贸易型总部租赁办公用房。对新迁入的市级贸易型总部企业，在坪山区租赁物业作为自用办公用房的，按实际租金且不超过60元/平方米/月的标准，给予一年租金资助，单个企业最高资助200万元。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bookmarkStart w:id="238" w:name="_Hlk129811264"/>
      <w:r>
        <w:rPr>
          <w:rFonts w:hint="eastAsia"/>
          <w:spacing w:val="8"/>
          <w:szCs w:val="24"/>
        </w:rPr>
        <w:t>在坪山区实际从事经营活动的企业，是指注册地、统计地及纳税地均在坪山区的企业；</w:t>
      </w:r>
    </w:p>
    <w:bookmarkEnd w:id="238"/>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rPr>
      </w:pPr>
      <w:r>
        <w:rPr>
          <w:rFonts w:hint="eastAsia"/>
          <w:spacing w:val="8"/>
          <w:szCs w:val="24"/>
        </w:rPr>
        <w:t>（二）有下列情况之一的，本条政策不予资助：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adjustRightInd w:val="0"/>
        <w:snapToGrid w:val="0"/>
        <w:ind w:firstLine="512"/>
        <w:contextualSpacing/>
        <w:rPr>
          <w:spacing w:val="8"/>
          <w:szCs w:val="24"/>
        </w:rPr>
      </w:pPr>
      <w:r>
        <w:rPr>
          <w:rFonts w:hint="eastAsia"/>
          <w:spacing w:val="8"/>
          <w:szCs w:val="24"/>
        </w:rPr>
        <w:t>（三）申报本条资助的新迁入贸易型总部企业：</w:t>
      </w:r>
    </w:p>
    <w:p>
      <w:pPr>
        <w:adjustRightInd w:val="0"/>
        <w:snapToGrid w:val="0"/>
        <w:ind w:firstLine="512"/>
        <w:contextualSpacing/>
        <w:rPr>
          <w:spacing w:val="8"/>
          <w:szCs w:val="24"/>
        </w:rPr>
      </w:pPr>
      <w:r>
        <w:rPr>
          <w:rFonts w:hint="eastAsia"/>
          <w:spacing w:val="8"/>
          <w:szCs w:val="24"/>
        </w:rPr>
        <w:t>1.</w:t>
      </w:r>
      <w:bookmarkStart w:id="239" w:name="_Hlk129721199"/>
      <w:r>
        <w:rPr>
          <w:rFonts w:hint="eastAsia"/>
          <w:spacing w:val="8"/>
          <w:szCs w:val="24"/>
        </w:rPr>
        <w:t>可不受2022年度在坪山区的财力贡献限制</w:t>
      </w:r>
      <w:bookmarkEnd w:id="239"/>
      <w:r>
        <w:rPr>
          <w:rFonts w:hint="eastAsia"/>
          <w:spacing w:val="8"/>
          <w:szCs w:val="24"/>
        </w:rPr>
        <w:t>；</w:t>
      </w:r>
    </w:p>
    <w:p>
      <w:pPr>
        <w:adjustRightInd w:val="0"/>
        <w:snapToGrid w:val="0"/>
        <w:ind w:firstLine="512"/>
        <w:contextualSpacing/>
        <w:rPr>
          <w:spacing w:val="8"/>
          <w:szCs w:val="24"/>
        </w:rPr>
      </w:pPr>
      <w:r>
        <w:rPr>
          <w:spacing w:val="8"/>
          <w:szCs w:val="24"/>
        </w:rPr>
        <w:t>2</w:t>
      </w:r>
      <w:r>
        <w:rPr>
          <w:rFonts w:hint="eastAsia"/>
          <w:spacing w:val="8"/>
          <w:szCs w:val="24"/>
        </w:rPr>
        <w:t>.以落户当年的租金申报资助的，资助时间范围为申报单位在坪山区注册或迁入之日后次月开始计算至2</w:t>
      </w:r>
      <w:r>
        <w:rPr>
          <w:spacing w:val="8"/>
          <w:szCs w:val="24"/>
        </w:rPr>
        <w:t>022</w:t>
      </w:r>
      <w:r>
        <w:rPr>
          <w:rFonts w:hint="eastAsia"/>
          <w:spacing w:val="8"/>
          <w:szCs w:val="24"/>
        </w:rPr>
        <w:t>年12月31日，租赁未满一年的以实际租赁时间为准；企业以第一个会计年度的租金申报资助的，资助时间范围为2</w:t>
      </w:r>
      <w:r>
        <w:rPr>
          <w:spacing w:val="8"/>
          <w:szCs w:val="24"/>
        </w:rPr>
        <w:t>022</w:t>
      </w:r>
      <w:r>
        <w:rPr>
          <w:rFonts w:hint="eastAsia"/>
          <w:spacing w:val="8"/>
          <w:szCs w:val="24"/>
        </w:rPr>
        <w:t>年</w:t>
      </w:r>
      <w:r>
        <w:rPr>
          <w:spacing w:val="8"/>
          <w:szCs w:val="24"/>
        </w:rPr>
        <w:t>1</w:t>
      </w:r>
      <w:r>
        <w:rPr>
          <w:rFonts w:hint="eastAsia"/>
          <w:spacing w:val="8"/>
          <w:szCs w:val="24"/>
        </w:rPr>
        <w:t>月</w:t>
      </w:r>
      <w:r>
        <w:rPr>
          <w:spacing w:val="8"/>
          <w:szCs w:val="24"/>
        </w:rPr>
        <w:t>1</w:t>
      </w:r>
      <w:r>
        <w:rPr>
          <w:rFonts w:hint="eastAsia"/>
          <w:spacing w:val="8"/>
          <w:szCs w:val="24"/>
        </w:rPr>
        <w:t>日至</w:t>
      </w:r>
      <w:r>
        <w:rPr>
          <w:spacing w:val="8"/>
          <w:szCs w:val="24"/>
        </w:rPr>
        <w:t>12</w:t>
      </w:r>
      <w:r>
        <w:rPr>
          <w:rFonts w:hint="eastAsia"/>
          <w:spacing w:val="8"/>
          <w:szCs w:val="24"/>
        </w:rPr>
        <w:t>月</w:t>
      </w:r>
      <w:r>
        <w:rPr>
          <w:spacing w:val="8"/>
          <w:szCs w:val="24"/>
        </w:rPr>
        <w:t>31</w:t>
      </w:r>
      <w:r>
        <w:rPr>
          <w:rFonts w:hint="eastAsia"/>
          <w:spacing w:val="8"/>
          <w:szCs w:val="24"/>
        </w:rPr>
        <w:t>日之间。</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zCs w:val="28"/>
        </w:rPr>
        <w:t>、</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322"/>
        <w:gridCol w:w="5812"/>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322"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812"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rFonts w:hint="eastAsia"/>
                <w:spacing w:val="8"/>
                <w:szCs w:val="24"/>
              </w:rPr>
              <w:t>1.《支持服务业新业态发展类—支持贸易型总部集聚发展资助专项项目申报书》；</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322" w:type="dxa"/>
            <w:vMerge w:val="continue"/>
            <w:tcBorders>
              <w:left w:val="single" w:color="auto" w:sz="4" w:space="0"/>
              <w:right w:val="single" w:color="auto" w:sz="4" w:space="0"/>
            </w:tcBorders>
            <w:vAlign w:val="center"/>
          </w:tcPr>
          <w:p>
            <w:pPr>
              <w:ind w:firstLine="0" w:firstLineChars="0"/>
              <w:jc w:val="center"/>
              <w:rPr>
                <w:szCs w:val="28"/>
              </w:rPr>
            </w:pPr>
          </w:p>
        </w:tc>
        <w:tc>
          <w:tcPr>
            <w:tcW w:w="581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322" w:type="dxa"/>
            <w:vMerge w:val="continue"/>
            <w:tcBorders>
              <w:left w:val="single" w:color="auto" w:sz="4" w:space="0"/>
              <w:right w:val="single" w:color="auto" w:sz="4" w:space="0"/>
            </w:tcBorders>
            <w:vAlign w:val="center"/>
          </w:tcPr>
          <w:p>
            <w:pPr>
              <w:ind w:firstLine="0" w:firstLineChars="0"/>
              <w:jc w:val="center"/>
              <w:rPr>
                <w:szCs w:val="28"/>
              </w:rPr>
            </w:pPr>
          </w:p>
        </w:tc>
        <w:tc>
          <w:tcPr>
            <w:tcW w:w="581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322" w:type="dxa"/>
            <w:vMerge w:val="continue"/>
            <w:tcBorders>
              <w:left w:val="single" w:color="auto" w:sz="4" w:space="0"/>
              <w:right w:val="single" w:color="auto" w:sz="4" w:space="0"/>
            </w:tcBorders>
            <w:vAlign w:val="center"/>
          </w:tcPr>
          <w:p>
            <w:pPr>
              <w:ind w:firstLine="0" w:firstLineChars="0"/>
              <w:jc w:val="center"/>
              <w:rPr>
                <w:szCs w:val="28"/>
              </w:rPr>
            </w:pPr>
          </w:p>
        </w:tc>
        <w:tc>
          <w:tcPr>
            <w:tcW w:w="581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4.2022年度纳税证明；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322" w:type="dxa"/>
            <w:vMerge w:val="continue"/>
            <w:tcBorders>
              <w:left w:val="single" w:color="auto" w:sz="4" w:space="0"/>
              <w:bottom w:val="single" w:color="auto" w:sz="4" w:space="0"/>
              <w:right w:val="single" w:color="auto" w:sz="4" w:space="0"/>
            </w:tcBorders>
            <w:vAlign w:val="center"/>
          </w:tcPr>
          <w:p>
            <w:pPr>
              <w:ind w:firstLine="0" w:firstLineChars="0"/>
              <w:jc w:val="center"/>
              <w:rPr>
                <w:szCs w:val="28"/>
              </w:rPr>
            </w:pPr>
          </w:p>
        </w:tc>
        <w:tc>
          <w:tcPr>
            <w:tcW w:w="581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5.年度</w:t>
            </w:r>
            <w:r>
              <w:rPr>
                <w:rFonts w:hint="eastAsia"/>
                <w:spacing w:val="8"/>
                <w:szCs w:val="24"/>
              </w:rPr>
              <w:t>累计</w:t>
            </w:r>
            <w:r>
              <w:rPr>
                <w:rFonts w:hint="eastAsia"/>
                <w:szCs w:val="28"/>
              </w:rPr>
              <w:t>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322"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申报本条第（一）款资助需提供</w:t>
            </w:r>
          </w:p>
        </w:tc>
        <w:tc>
          <w:tcPr>
            <w:tcW w:w="581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rFonts w:hint="eastAsia"/>
                <w:szCs w:val="28"/>
              </w:rPr>
              <w:t>6</w:t>
            </w:r>
            <w:r>
              <w:rPr>
                <w:szCs w:val="28"/>
              </w:rPr>
              <w:t>.</w:t>
            </w:r>
            <w:r>
              <w:rPr>
                <w:rFonts w:hint="eastAsia"/>
                <w:szCs w:val="28"/>
              </w:rPr>
              <w:t>被市</w:t>
            </w:r>
            <w:r>
              <w:rPr>
                <w:rFonts w:hint="eastAsia"/>
                <w:spacing w:val="8"/>
                <w:szCs w:val="24"/>
              </w:rPr>
              <w:t>商务局</w:t>
            </w:r>
            <w:r>
              <w:rPr>
                <w:rFonts w:hint="eastAsia"/>
                <w:szCs w:val="28"/>
              </w:rPr>
              <w:t>认定为贸易型总部企业的公示截图；</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322"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申报本条第（二）款资助需提供</w:t>
            </w:r>
          </w:p>
        </w:tc>
        <w:tc>
          <w:tcPr>
            <w:tcW w:w="5812" w:type="dxa"/>
            <w:tcBorders>
              <w:top w:val="single" w:color="auto" w:sz="4" w:space="0"/>
              <w:left w:val="single" w:color="auto" w:sz="4" w:space="0"/>
              <w:bottom w:val="single" w:color="auto" w:sz="4" w:space="0"/>
              <w:right w:val="single" w:color="auto" w:sz="4" w:space="0"/>
            </w:tcBorders>
            <w:vAlign w:val="center"/>
          </w:tcPr>
          <w:p>
            <w:pPr>
              <w:ind w:left="192" w:hanging="192" w:hangingChars="80"/>
              <w:rPr>
                <w:szCs w:val="28"/>
              </w:rPr>
            </w:pPr>
            <w:r>
              <w:rPr>
                <w:szCs w:val="28"/>
              </w:rPr>
              <w:t>7</w:t>
            </w:r>
            <w:r>
              <w:rPr>
                <w:rFonts w:hint="eastAsia"/>
                <w:szCs w:val="28"/>
              </w:rPr>
              <w:t>.租赁合同、街道等政府部门或有关单位出具的租赁凭证或场所使用证明；2022年度租金发票和支付凭证（验原件，收复印件）；租赁用房信息明细表（格式参见第六部分《租赁用房信息明细表》）；</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p>
            <w:pPr>
              <w:ind w:firstLine="0" w:firstLineChars="0"/>
              <w:jc w:val="center"/>
              <w:rPr>
                <w:rFonts w:ascii="宋体" w:hAnsi="宋体"/>
                <w:szCs w:val="24"/>
              </w:rPr>
            </w:pPr>
          </w:p>
          <w:p>
            <w:pPr>
              <w:ind w:firstLine="0" w:firstLineChars="0"/>
              <w:rPr>
                <w:rFonts w:ascii="宋体" w:hAnsi="宋体"/>
                <w:szCs w:val="24"/>
              </w:rPr>
            </w:pPr>
          </w:p>
          <w:p>
            <w:pPr>
              <w:ind w:firstLine="0" w:firstLineChars="0"/>
              <w:rPr>
                <w:rFonts w:ascii="宋体" w:hAnsi="宋体"/>
                <w:szCs w:val="24"/>
              </w:rPr>
            </w:pPr>
          </w:p>
          <w:p>
            <w:pPr>
              <w:ind w:firstLine="0" w:firstLineChars="0"/>
              <w:rPr>
                <w:rFonts w:ascii="宋体" w:hAnsi="宋体"/>
                <w:szCs w:val="24"/>
              </w:rPr>
            </w:pPr>
          </w:p>
          <w:p>
            <w:pPr>
              <w:ind w:firstLine="0" w:firstLineChars="0"/>
              <w:rPr>
                <w:rFonts w:ascii="宋体" w:hAnsi="宋体"/>
                <w:szCs w:val="24"/>
              </w:rPr>
            </w:pPr>
          </w:p>
          <w:p>
            <w:pPr>
              <w:ind w:firstLine="0" w:firstLineChars="0"/>
              <w:jc w:val="left"/>
              <w:rPr>
                <w:rFonts w:ascii="宋体" w:hAnsi="宋体"/>
                <w:szCs w:val="24"/>
              </w:rPr>
            </w:pPr>
          </w:p>
        </w:tc>
      </w:tr>
    </w:tbl>
    <w:p>
      <w:pPr>
        <w:ind w:firstLine="480"/>
      </w:pPr>
      <w:r>
        <w:rPr>
          <w:rFonts w:hint="eastAsia"/>
        </w:rPr>
        <w:br w:type="page"/>
      </w:r>
    </w:p>
    <w:p>
      <w:pPr>
        <w:pStyle w:val="28"/>
        <w:spacing w:before="312" w:line="360" w:lineRule="auto"/>
        <w:outlineLvl w:val="2"/>
        <w:rPr>
          <w:bCs/>
        </w:rPr>
      </w:pPr>
      <w:bookmarkStart w:id="240" w:name="_Toc130905487"/>
      <w:bookmarkStart w:id="241" w:name="_Toc138949356"/>
      <w:r>
        <w:rPr>
          <w:rFonts w:hint="eastAsia"/>
        </w:rPr>
        <w:t>第十八节 支持跨境贸易发展专项资助</w:t>
      </w:r>
      <w:bookmarkEnd w:id="240"/>
      <w:bookmarkEnd w:id="241"/>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（一）支持服务贸易。对纳入商务部统计平台的服务贸易企业，上年度进出口总额达到500万美元以上的，按进出口交易额（以人民币计）的3‰，给予最高50万元资助。</w:t>
      </w:r>
    </w:p>
    <w:p>
      <w:pPr>
        <w:ind w:firstLine="512"/>
        <w:rPr>
          <w:spacing w:val="8"/>
          <w:szCs w:val="24"/>
        </w:rPr>
      </w:pPr>
      <w:r>
        <w:rPr>
          <w:rFonts w:hint="eastAsia"/>
          <w:spacing w:val="8"/>
          <w:szCs w:val="24"/>
        </w:rPr>
        <w:t>（二）支持跨境电商。对上年度进出口总额达到500万美元以上的跨境电商企业，按进出口交易额（以人民币计）的3‰，给予最高50万元资助。</w:t>
      </w:r>
    </w:p>
    <w:p>
      <w:pPr>
        <w:ind w:firstLine="512"/>
        <w:rPr>
          <w:spacing w:val="8"/>
          <w:szCs w:val="24"/>
        </w:rPr>
      </w:pPr>
      <w:r>
        <w:rPr>
          <w:rFonts w:hint="eastAsia"/>
          <w:spacing w:val="8"/>
          <w:szCs w:val="24"/>
        </w:rPr>
        <w:t>（三）支持AEO海关认证。对上年度首次通过深圳海关AEO高级认证的企业，给予20万元一次性奖励。对上年度通过深圳海关复审重获AEO高级认证的企业，给予5万元一次性奖励。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在坪山区实际从事经营活动的企业，是指注册地、统计地及纳税地均在坪山区的企业；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rPr>
      </w:pPr>
      <w:r>
        <w:rPr>
          <w:rFonts w:hint="eastAsia"/>
          <w:spacing w:val="8"/>
          <w:szCs w:val="24"/>
        </w:rPr>
        <w:t>（二）申报本条第（一）款和第（三）款资助的，可不受本措施申报主体限制。</w:t>
      </w:r>
    </w:p>
    <w:p>
      <w:pPr>
        <w:ind w:firstLine="512"/>
        <w:rPr>
          <w:spacing w:val="8"/>
          <w:szCs w:val="24"/>
        </w:rPr>
      </w:pPr>
      <w:r>
        <w:rPr>
          <w:rFonts w:hint="eastAsia"/>
          <w:spacing w:val="8"/>
          <w:szCs w:val="24"/>
        </w:rPr>
        <w:t>（三）有下列情况之一的，本条政策不予资助：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（四）申报本条第（一）款资助的，服务贸易合同须与商务部统计平台上一致，对应的收付款凭证时间需为202</w:t>
      </w:r>
      <w:r>
        <w:rPr>
          <w:spacing w:val="8"/>
          <w:szCs w:val="24"/>
          <w:lang w:val="en"/>
        </w:rPr>
        <w:t>2</w:t>
      </w:r>
      <w:r>
        <w:rPr>
          <w:rFonts w:hint="eastAsia"/>
          <w:spacing w:val="8"/>
          <w:szCs w:val="24"/>
        </w:rPr>
        <w:t>年，且原则上收付款时间和金额需与系统一致（汇差等原因除外）。资金审核时采用的汇率为合同执行日的汇率，即收付款当天中国外汇交易中心公布的数据，若当天无数据，则往后顺延取最近一日公布的数据。</w:t>
      </w:r>
    </w:p>
    <w:p>
      <w:pPr>
        <w:ind w:firstLine="512"/>
      </w:pPr>
      <w:r>
        <w:rPr>
          <w:rFonts w:hint="eastAsia"/>
          <w:spacing w:val="8"/>
          <w:szCs w:val="24"/>
        </w:rPr>
        <w:t>（五）申报本条第（二）款资助的，须在跨境电商综试区线上综合服务平台备案，且符合海关、税务、外汇管理等部门监管规定。资金审核时采用的汇率为中国外汇交易中心公布的2</w:t>
      </w:r>
      <w:r>
        <w:rPr>
          <w:spacing w:val="8"/>
          <w:szCs w:val="24"/>
        </w:rPr>
        <w:t>022</w:t>
      </w:r>
      <w:r>
        <w:rPr>
          <w:rFonts w:hint="eastAsia"/>
          <w:spacing w:val="8"/>
          <w:szCs w:val="24"/>
        </w:rPr>
        <w:t>年平均汇率。</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59"/>
        <w:gridCol w:w="5103"/>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666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559"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10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1.</w:t>
            </w:r>
            <w:r>
              <w:rPr>
                <w:rFonts w:hint="eastAsia"/>
                <w:spacing w:val="8"/>
                <w:szCs w:val="24"/>
              </w:rPr>
              <w:t>《支持服务业新业态发展类—支持跨境贸易发展专项资助项目申报书》</w:t>
            </w:r>
            <w:r>
              <w:rPr>
                <w:rFonts w:hint="eastAsia"/>
                <w:szCs w:val="28"/>
              </w:rPr>
              <w:t>；</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559" w:type="dxa"/>
            <w:vMerge w:val="continue"/>
            <w:tcBorders>
              <w:left w:val="single" w:color="auto" w:sz="4" w:space="0"/>
              <w:right w:val="single" w:color="auto" w:sz="4" w:space="0"/>
            </w:tcBorders>
            <w:vAlign w:val="center"/>
          </w:tcPr>
          <w:p>
            <w:pPr>
              <w:ind w:firstLine="0" w:firstLineChars="0"/>
              <w:rPr>
                <w:szCs w:val="28"/>
              </w:rPr>
            </w:pPr>
          </w:p>
        </w:tc>
        <w:tc>
          <w:tcPr>
            <w:tcW w:w="510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2.营业执照复印件（三证合一新版）（验原件，收</w:t>
            </w:r>
            <w:r>
              <w:rPr>
                <w:rFonts w:hint="eastAsia"/>
                <w:spacing w:val="8"/>
                <w:szCs w:val="24"/>
              </w:rPr>
              <w:t>复印件</w:t>
            </w:r>
            <w:r>
              <w:rPr>
                <w:rFonts w:hint="eastAsia"/>
                <w:szCs w:val="28"/>
              </w:rPr>
              <w:t>）；</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559" w:type="dxa"/>
            <w:vMerge w:val="continue"/>
            <w:tcBorders>
              <w:left w:val="single" w:color="auto" w:sz="4" w:space="0"/>
              <w:right w:val="single" w:color="auto" w:sz="4" w:space="0"/>
            </w:tcBorders>
            <w:vAlign w:val="center"/>
          </w:tcPr>
          <w:p>
            <w:pPr>
              <w:ind w:firstLine="0" w:firstLineChars="0"/>
              <w:rPr>
                <w:szCs w:val="28"/>
              </w:rPr>
            </w:pPr>
          </w:p>
        </w:tc>
        <w:tc>
          <w:tcPr>
            <w:tcW w:w="510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3.法定</w:t>
            </w:r>
            <w:r>
              <w:rPr>
                <w:rFonts w:hint="eastAsia"/>
                <w:spacing w:val="8"/>
                <w:szCs w:val="24"/>
              </w:rPr>
              <w:t>代表</w:t>
            </w:r>
            <w:r>
              <w:rPr>
                <w:rFonts w:hint="eastAsia"/>
                <w:szCs w:val="28"/>
              </w:rPr>
              <w:t>人身份证复印件和签字样本；</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559" w:type="dxa"/>
            <w:vMerge w:val="continue"/>
            <w:tcBorders>
              <w:left w:val="single" w:color="auto" w:sz="4" w:space="0"/>
              <w:right w:val="single" w:color="auto" w:sz="4" w:space="0"/>
            </w:tcBorders>
            <w:vAlign w:val="center"/>
          </w:tcPr>
          <w:p>
            <w:pPr>
              <w:ind w:firstLine="0" w:firstLineChars="0"/>
              <w:rPr>
                <w:szCs w:val="28"/>
              </w:rPr>
            </w:pPr>
          </w:p>
        </w:tc>
        <w:tc>
          <w:tcPr>
            <w:tcW w:w="510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4.2022年度纳税证明；</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559" w:type="dxa"/>
            <w:vMerge w:val="continue"/>
            <w:tcBorders>
              <w:left w:val="single" w:color="auto" w:sz="4" w:space="0"/>
              <w:bottom w:val="single" w:color="auto" w:sz="4" w:space="0"/>
              <w:right w:val="single" w:color="auto" w:sz="4" w:space="0"/>
            </w:tcBorders>
            <w:vAlign w:val="center"/>
          </w:tcPr>
          <w:p>
            <w:pPr>
              <w:ind w:firstLine="0" w:firstLineChars="0"/>
              <w:rPr>
                <w:szCs w:val="28"/>
              </w:rPr>
            </w:pPr>
          </w:p>
        </w:tc>
        <w:tc>
          <w:tcPr>
            <w:tcW w:w="510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5.年度累计获区经济发展专项资金资助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559" w:type="dxa"/>
            <w:tcBorders>
              <w:top w:val="single" w:color="auto" w:sz="4" w:space="0"/>
              <w:left w:val="single" w:color="auto" w:sz="4" w:space="0"/>
              <w:right w:val="single" w:color="auto" w:sz="4" w:space="0"/>
            </w:tcBorders>
            <w:vAlign w:val="center"/>
          </w:tcPr>
          <w:p>
            <w:pPr>
              <w:ind w:firstLine="0" w:firstLineChars="0"/>
              <w:jc w:val="center"/>
              <w:rPr>
                <w:spacing w:val="8"/>
                <w:szCs w:val="24"/>
              </w:rPr>
            </w:pPr>
            <w:r>
              <w:rPr>
                <w:rFonts w:hint="eastAsia"/>
                <w:spacing w:val="8"/>
                <w:szCs w:val="24"/>
              </w:rPr>
              <w:t>申报</w:t>
            </w:r>
            <w:r>
              <w:rPr>
                <w:rFonts w:hint="eastAsia"/>
                <w:szCs w:val="28"/>
              </w:rPr>
              <w:t>本条</w:t>
            </w:r>
            <w:r>
              <w:rPr>
                <w:rFonts w:hint="eastAsia"/>
                <w:spacing w:val="8"/>
                <w:szCs w:val="24"/>
              </w:rPr>
              <w:t>第（一）款资助的还需同时提供</w:t>
            </w:r>
          </w:p>
        </w:tc>
        <w:tc>
          <w:tcPr>
            <w:tcW w:w="5103"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rFonts w:hint="eastAsia"/>
                <w:spacing w:val="8"/>
                <w:szCs w:val="24"/>
              </w:rPr>
              <w:t>6.</w:t>
            </w:r>
            <w:r>
              <w:rPr>
                <w:szCs w:val="28"/>
              </w:rPr>
              <w:t>经</w:t>
            </w:r>
            <w:r>
              <w:rPr>
                <w:spacing w:val="8"/>
                <w:szCs w:val="24"/>
              </w:rPr>
              <w:t>商务部</w:t>
            </w:r>
            <w:r>
              <w:rPr>
                <w:szCs w:val="28"/>
              </w:rPr>
              <w:t>业务系统统一平台审查通过的服务贸易</w:t>
            </w:r>
            <w:r>
              <w:rPr>
                <w:rFonts w:hint="eastAsia"/>
                <w:szCs w:val="28"/>
              </w:rPr>
              <w:t>进出口总额</w:t>
            </w:r>
            <w:r>
              <w:rPr>
                <w:szCs w:val="28"/>
              </w:rPr>
              <w:t>数据（截图打印）</w:t>
            </w:r>
            <w:r>
              <w:rPr>
                <w:rFonts w:hint="eastAsia"/>
                <w:szCs w:val="28"/>
              </w:rPr>
              <w:t>、收付汇合同（合同为外文的，需翻译为中文）、银行回单</w:t>
            </w:r>
            <w:r>
              <w:rPr>
                <w:rFonts w:hint="eastAsia"/>
                <w:spacing w:val="8"/>
                <w:szCs w:val="24"/>
              </w:rPr>
              <w:t>；</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1559" w:type="dxa"/>
            <w:tcBorders>
              <w:left w:val="single" w:color="auto" w:sz="4" w:space="0"/>
              <w:bottom w:val="single" w:color="auto" w:sz="4" w:space="0"/>
              <w:right w:val="single" w:color="auto" w:sz="4" w:space="0"/>
            </w:tcBorders>
            <w:vAlign w:val="center"/>
          </w:tcPr>
          <w:p>
            <w:pPr>
              <w:ind w:firstLine="0" w:firstLineChars="0"/>
              <w:jc w:val="center"/>
              <w:rPr>
                <w:spacing w:val="8"/>
                <w:szCs w:val="24"/>
              </w:rPr>
            </w:pPr>
            <w:r>
              <w:rPr>
                <w:rFonts w:hint="eastAsia"/>
                <w:szCs w:val="28"/>
              </w:rPr>
              <w:t>申报本条第（二）款资助的还需同时提供</w:t>
            </w:r>
          </w:p>
        </w:tc>
        <w:tc>
          <w:tcPr>
            <w:tcW w:w="5103"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rFonts w:hint="eastAsia"/>
                <w:spacing w:val="8"/>
                <w:szCs w:val="24"/>
              </w:rPr>
              <w:t>7.跨境电商交易额相关证明材料（申报企业所运营的平台/店铺，其后台管理系统年度数据查询显示</w:t>
            </w:r>
            <w:r>
              <w:rPr>
                <w:rFonts w:hint="eastAsia"/>
                <w:szCs w:val="28"/>
              </w:rPr>
              <w:t>海关</w:t>
            </w:r>
            <w:r>
              <w:rPr>
                <w:rFonts w:hint="eastAsia"/>
                <w:spacing w:val="8"/>
                <w:szCs w:val="24"/>
              </w:rPr>
              <w:t>数据清单、所在综试区线上综合服务平台数据、近两年跨境电商第三方交易额截图、经注册会计师行业统一监管平台备案的2022年度会展业务营业收入的专项审计报告（格式参见第六部分《项目专项审计报告提纲》）（验原件，收复印件）；</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（四）</w:t>
            </w:r>
          </w:p>
        </w:tc>
        <w:tc>
          <w:tcPr>
            <w:tcW w:w="1559" w:type="dxa"/>
            <w:tcBorders>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申报本条第（三）款资助的还需同时提供</w:t>
            </w:r>
          </w:p>
        </w:tc>
        <w:tc>
          <w:tcPr>
            <w:tcW w:w="5103"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spacing w:val="8"/>
                <w:szCs w:val="24"/>
              </w:rPr>
              <w:t>8</w:t>
            </w:r>
            <w:r>
              <w:rPr>
                <w:rFonts w:hint="eastAsia"/>
                <w:spacing w:val="8"/>
                <w:szCs w:val="24"/>
              </w:rPr>
              <w:t>.</w:t>
            </w:r>
            <w:r>
              <w:rPr>
                <w:rFonts w:hint="eastAsia"/>
              </w:rPr>
              <w:t>深圳</w:t>
            </w:r>
            <w:r>
              <w:rPr>
                <w:rFonts w:hint="eastAsia"/>
                <w:spacing w:val="8"/>
                <w:szCs w:val="24"/>
              </w:rPr>
              <w:t>海关AEO高级认证证书（验原件，收复印件）；</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（五）</w:t>
            </w:r>
          </w:p>
        </w:tc>
        <w:tc>
          <w:tcPr>
            <w:tcW w:w="666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pPr>
          </w:p>
          <w:p>
            <w:pPr>
              <w:ind w:firstLine="0" w:firstLineChars="0"/>
              <w:jc w:val="left"/>
              <w:rPr>
                <w:rFonts w:ascii="宋体" w:hAnsi="宋体"/>
                <w:szCs w:val="24"/>
              </w:rPr>
            </w:pPr>
          </w:p>
        </w:tc>
      </w:tr>
    </w:tbl>
    <w:p>
      <w:pPr>
        <w:ind w:firstLine="480"/>
      </w:pPr>
      <w:r>
        <w:rPr>
          <w:rFonts w:hint="eastAsia"/>
        </w:rPr>
        <w:br w:type="page"/>
      </w:r>
    </w:p>
    <w:bookmarkEnd w:id="232"/>
    <w:bookmarkEnd w:id="233"/>
    <w:bookmarkEnd w:id="234"/>
    <w:bookmarkEnd w:id="235"/>
    <w:bookmarkEnd w:id="236"/>
    <w:bookmarkEnd w:id="237"/>
    <w:p>
      <w:pPr>
        <w:pStyle w:val="28"/>
        <w:spacing w:before="312" w:line="360" w:lineRule="auto"/>
        <w:outlineLvl w:val="2"/>
        <w:rPr>
          <w:bCs/>
        </w:rPr>
      </w:pPr>
      <w:bookmarkStart w:id="242" w:name="_Toc130905488"/>
      <w:bookmarkStart w:id="243" w:name="_Toc138949357"/>
      <w:bookmarkStart w:id="244" w:name="_Toc31772"/>
      <w:bookmarkStart w:id="245" w:name="_Toc201605898"/>
      <w:bookmarkStart w:id="246" w:name="_Toc468680203"/>
      <w:bookmarkStart w:id="247" w:name="_Toc251017963"/>
      <w:bookmarkStart w:id="248" w:name="_Toc1736802801"/>
      <w:bookmarkStart w:id="249" w:name="_Toc74931574"/>
      <w:r>
        <w:rPr>
          <w:rFonts w:hint="eastAsia"/>
        </w:rPr>
        <w:t>第十九节 支持消费新业态发展专项资助</w:t>
      </w:r>
      <w:bookmarkEnd w:id="242"/>
      <w:bookmarkEnd w:id="243"/>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对商贸企业利用大数据、人工智能、区块链等新技术，开展消费场景和零售业务进行数字化、信息化、智能化升级的，按市级资助金额的30%，给予最高50万元配套资助。</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（一）申报本条政策资助的单位需满足以下基本条件：</w:t>
      </w:r>
    </w:p>
    <w:p>
      <w:pPr>
        <w:ind w:firstLine="512"/>
        <w:rPr>
          <w:spacing w:val="8"/>
          <w:szCs w:val="24"/>
        </w:rPr>
      </w:pPr>
      <w:r>
        <w:rPr>
          <w:spacing w:val="8"/>
          <w:szCs w:val="24"/>
        </w:rPr>
        <w:t>1.</w:t>
      </w:r>
      <w:r>
        <w:rPr>
          <w:rFonts w:hint="eastAsia"/>
          <w:spacing w:val="8"/>
          <w:szCs w:val="24"/>
        </w:rPr>
        <w:t>申报主体原则上必须是注册地、统计地及纳税地均在坪山区的服务业企业；</w:t>
      </w:r>
    </w:p>
    <w:p>
      <w:pPr>
        <w:ind w:firstLine="512"/>
        <w:rPr>
          <w:spacing w:val="8"/>
          <w:szCs w:val="24"/>
        </w:rPr>
      </w:pPr>
      <w:r>
        <w:rPr>
          <w:spacing w:val="8"/>
          <w:szCs w:val="24"/>
        </w:rPr>
        <w:t>2.守法经营、诚实守信、有规范健全的财务会计制度</w:t>
      </w:r>
      <w:r>
        <w:rPr>
          <w:rFonts w:hint="eastAsia"/>
          <w:spacing w:val="8"/>
          <w:szCs w:val="24"/>
        </w:rPr>
        <w:t>；</w:t>
      </w:r>
    </w:p>
    <w:p>
      <w:pPr>
        <w:ind w:firstLine="512"/>
        <w:rPr>
          <w:spacing w:val="8"/>
          <w:szCs w:val="24"/>
        </w:rPr>
      </w:pPr>
      <w:r>
        <w:rPr>
          <w:spacing w:val="8"/>
          <w:szCs w:val="24"/>
        </w:rPr>
        <w:t>3.</w:t>
      </w:r>
      <w:r>
        <w:rPr>
          <w:rFonts w:hint="eastAsia"/>
          <w:spacing w:val="8"/>
          <w:szCs w:val="24"/>
        </w:rPr>
        <w:t>履行统计数据和纳税申报义务</w:t>
      </w:r>
      <w:r>
        <w:rPr>
          <w:spacing w:val="8"/>
          <w:szCs w:val="24"/>
        </w:rPr>
        <w:t>。</w:t>
      </w:r>
    </w:p>
    <w:p>
      <w:pPr>
        <w:ind w:firstLine="512"/>
        <w:rPr>
          <w:spacing w:val="8"/>
          <w:szCs w:val="24"/>
        </w:rPr>
      </w:pPr>
      <w:r>
        <w:rPr>
          <w:rFonts w:hint="eastAsia"/>
          <w:spacing w:val="8"/>
          <w:szCs w:val="24"/>
        </w:rPr>
        <w:t>（二）有下列情况之一的，本条政策不予资助：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（三）申报本条资助的，以2022年度到账的市级资助资金为基数给予配套资助。</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szCs w:val="28"/>
        </w:rPr>
      </w:pPr>
      <w:r>
        <w:rPr>
          <w:rFonts w:hint="eastAsia"/>
          <w:b/>
          <w:bCs/>
          <w:spacing w:val="8"/>
          <w:szCs w:val="24"/>
        </w:rPr>
        <w:t>所有纸质申报材料一式两份，A4纸双面打印，编制目录和页码，胶装成册，每页需加盖单位公章，并加盖骑缝章。</w:t>
      </w:r>
    </w:p>
    <w:tbl>
      <w:tblPr>
        <w:tblStyle w:val="2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469"/>
        <w:gridCol w:w="5353"/>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682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69"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35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1.</w:t>
            </w:r>
            <w:r>
              <w:rPr>
                <w:rFonts w:hint="eastAsia"/>
                <w:spacing w:val="8"/>
                <w:szCs w:val="24"/>
              </w:rPr>
              <w:t>《支持服务业新业态发展类—支持消费新业态发展专项资助项目申报书》</w:t>
            </w:r>
            <w:r>
              <w:rPr>
                <w:rFonts w:hint="eastAsia"/>
                <w:szCs w:val="28"/>
              </w:rPr>
              <w:t>；</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9" w:type="dxa"/>
            <w:vMerge w:val="continue"/>
            <w:tcBorders>
              <w:left w:val="single" w:color="auto" w:sz="4" w:space="0"/>
              <w:right w:val="single" w:color="auto" w:sz="4" w:space="0"/>
            </w:tcBorders>
            <w:vAlign w:val="center"/>
          </w:tcPr>
          <w:p>
            <w:pPr>
              <w:ind w:firstLine="0" w:firstLineChars="0"/>
              <w:rPr>
                <w:szCs w:val="28"/>
              </w:rPr>
            </w:pPr>
          </w:p>
        </w:tc>
        <w:tc>
          <w:tcPr>
            <w:tcW w:w="535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2.营业执照复印件（三证合一新版）（验原件，收复印件）；</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9" w:type="dxa"/>
            <w:vMerge w:val="continue"/>
            <w:tcBorders>
              <w:left w:val="single" w:color="auto" w:sz="4" w:space="0"/>
              <w:right w:val="single" w:color="auto" w:sz="4" w:space="0"/>
            </w:tcBorders>
            <w:vAlign w:val="center"/>
          </w:tcPr>
          <w:p>
            <w:pPr>
              <w:ind w:firstLine="0" w:firstLineChars="0"/>
              <w:rPr>
                <w:szCs w:val="28"/>
              </w:rPr>
            </w:pPr>
          </w:p>
        </w:tc>
        <w:tc>
          <w:tcPr>
            <w:tcW w:w="535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3.法定代表人</w:t>
            </w:r>
            <w:r>
              <w:rPr>
                <w:rFonts w:hint="eastAsia"/>
                <w:spacing w:val="8"/>
                <w:szCs w:val="24"/>
              </w:rPr>
              <w:t>身份证</w:t>
            </w:r>
            <w:r>
              <w:rPr>
                <w:rFonts w:hint="eastAsia"/>
                <w:szCs w:val="28"/>
              </w:rPr>
              <w:t>复印件和签字样本；</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9" w:type="dxa"/>
            <w:vMerge w:val="continue"/>
            <w:tcBorders>
              <w:left w:val="single" w:color="auto" w:sz="4" w:space="0"/>
              <w:right w:val="single" w:color="auto" w:sz="4" w:space="0"/>
            </w:tcBorders>
            <w:vAlign w:val="center"/>
          </w:tcPr>
          <w:p>
            <w:pPr>
              <w:ind w:firstLine="0" w:firstLineChars="0"/>
              <w:rPr>
                <w:szCs w:val="28"/>
              </w:rPr>
            </w:pPr>
          </w:p>
        </w:tc>
        <w:tc>
          <w:tcPr>
            <w:tcW w:w="5353"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4.2022年度纳税证明；</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p>
        </w:tc>
        <w:tc>
          <w:tcPr>
            <w:tcW w:w="1469" w:type="dxa"/>
            <w:vMerge w:val="continue"/>
            <w:tcBorders>
              <w:left w:val="single" w:color="auto" w:sz="4" w:space="0"/>
              <w:bottom w:val="single" w:color="auto" w:sz="4" w:space="0"/>
              <w:right w:val="single" w:color="auto" w:sz="4" w:space="0"/>
            </w:tcBorders>
            <w:vAlign w:val="center"/>
          </w:tcPr>
          <w:p>
            <w:pPr>
              <w:ind w:firstLine="0" w:firstLineChars="0"/>
              <w:rPr>
                <w:szCs w:val="28"/>
              </w:rPr>
            </w:pPr>
          </w:p>
        </w:tc>
        <w:tc>
          <w:tcPr>
            <w:tcW w:w="535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5.</w:t>
            </w:r>
            <w:r>
              <w:rPr>
                <w:rFonts w:hint="eastAsia"/>
                <w:spacing w:val="8"/>
                <w:szCs w:val="24"/>
              </w:rPr>
              <w:t>年度</w:t>
            </w:r>
            <w:r>
              <w:rPr>
                <w:rFonts w:hint="eastAsia"/>
                <w:szCs w:val="28"/>
              </w:rPr>
              <w:t>累计获区经济发展专项资金资助</w:t>
            </w:r>
            <w:r>
              <w:rPr>
                <w:szCs w:val="28"/>
              </w:rPr>
              <w:t>50</w:t>
            </w:r>
            <w:r>
              <w:rPr>
                <w:rFonts w:hint="eastAsia"/>
                <w:szCs w:val="28"/>
              </w:rPr>
              <w:t>万元（含）以上的五年内不得搬离的承诺函原件</w:t>
            </w:r>
            <w:r>
              <w:rPr>
                <w:rFonts w:hint="eastAsia"/>
                <w:spacing w:val="8"/>
                <w:szCs w:val="24"/>
              </w:rPr>
              <w:t>（格式参见第六部分《承诺函（通用版）》）</w:t>
            </w:r>
            <w:r>
              <w:rPr>
                <w:rFonts w:hint="eastAsia"/>
                <w:szCs w:val="28"/>
              </w:rPr>
              <w:t>；</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69" w:type="dxa"/>
            <w:tcBorders>
              <w:top w:val="single" w:color="auto" w:sz="4" w:space="0"/>
              <w:left w:val="single" w:color="auto" w:sz="4" w:space="0"/>
              <w:right w:val="single" w:color="auto" w:sz="4" w:space="0"/>
            </w:tcBorders>
            <w:vAlign w:val="center"/>
          </w:tcPr>
          <w:p>
            <w:pPr>
              <w:ind w:firstLine="0" w:firstLineChars="0"/>
              <w:jc w:val="center"/>
              <w:rPr>
                <w:spacing w:val="8"/>
                <w:szCs w:val="24"/>
              </w:rPr>
            </w:pPr>
            <w:r>
              <w:rPr>
                <w:rFonts w:hint="eastAsia"/>
                <w:spacing w:val="8"/>
                <w:szCs w:val="24"/>
              </w:rPr>
              <w:t>申报本条资助还需同时提供</w:t>
            </w:r>
          </w:p>
        </w:tc>
        <w:tc>
          <w:tcPr>
            <w:tcW w:w="5353"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zCs w:val="28"/>
              </w:rPr>
            </w:pPr>
            <w:r>
              <w:rPr>
                <w:rFonts w:hint="eastAsia"/>
                <w:spacing w:val="8"/>
                <w:szCs w:val="24"/>
              </w:rPr>
              <w:t>6.市级资助相关证明文件、收款凭证（验原件，收复印件）；</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682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pPr>
          </w:p>
          <w:p>
            <w:pPr>
              <w:pStyle w:val="2"/>
              <w:spacing w:line="360" w:lineRule="auto"/>
              <w:ind w:firstLine="0" w:firstLineChars="0"/>
            </w:pPr>
          </w:p>
          <w:p>
            <w:pPr>
              <w:pStyle w:val="2"/>
              <w:spacing w:line="360" w:lineRule="auto"/>
              <w:ind w:firstLine="0" w:firstLineChars="0"/>
            </w:pPr>
          </w:p>
          <w:p>
            <w:pPr>
              <w:pStyle w:val="2"/>
              <w:spacing w:line="360" w:lineRule="auto"/>
              <w:ind w:firstLine="0" w:firstLineChars="0"/>
            </w:pPr>
          </w:p>
          <w:p>
            <w:pPr>
              <w:ind w:firstLine="0" w:firstLineChars="0"/>
              <w:jc w:val="left"/>
              <w:rPr>
                <w:rFonts w:ascii="宋体" w:hAnsi="宋体"/>
                <w:szCs w:val="24"/>
              </w:rPr>
            </w:pPr>
          </w:p>
        </w:tc>
      </w:tr>
    </w:tbl>
    <w:p>
      <w:pPr>
        <w:ind w:firstLine="480"/>
      </w:pPr>
      <w:r>
        <w:rPr>
          <w:rFonts w:hint="eastAsia"/>
        </w:rPr>
        <w:br w:type="page"/>
      </w:r>
    </w:p>
    <w:p>
      <w:pPr>
        <w:pStyle w:val="28"/>
        <w:spacing w:before="312" w:line="360" w:lineRule="auto"/>
        <w:outlineLvl w:val="2"/>
        <w:rPr>
          <w:bCs/>
        </w:rPr>
      </w:pPr>
      <w:bookmarkStart w:id="250" w:name="_Toc138949358"/>
      <w:bookmarkStart w:id="251" w:name="_Toc130905489"/>
      <w:r>
        <w:rPr>
          <w:rFonts w:hint="eastAsia"/>
        </w:rPr>
        <w:t>第二十节 支持</w:t>
      </w:r>
      <w:bookmarkStart w:id="252" w:name="_Hlk129813164"/>
      <w:r>
        <w:rPr>
          <w:rFonts w:hint="eastAsia"/>
        </w:rPr>
        <w:t>直升机固定航线发展</w:t>
      </w:r>
      <w:bookmarkEnd w:id="252"/>
      <w:r>
        <w:rPr>
          <w:rFonts w:hint="eastAsia"/>
        </w:rPr>
        <w:t>专项资助</w:t>
      </w:r>
      <w:bookmarkEnd w:id="250"/>
      <w:bookmarkEnd w:id="251"/>
    </w:p>
    <w:p>
      <w:pPr>
        <w:ind w:firstLine="514"/>
        <w:rPr>
          <w:b/>
          <w:bCs/>
          <w:spacing w:val="8"/>
          <w:szCs w:val="24"/>
        </w:rPr>
      </w:pPr>
      <w:r>
        <w:rPr>
          <w:rFonts w:hint="eastAsia"/>
          <w:b/>
          <w:bCs/>
          <w:spacing w:val="8"/>
          <w:szCs w:val="24"/>
        </w:rPr>
        <w:t>一、政策内容</w:t>
      </w:r>
    </w:p>
    <w:p>
      <w:pPr>
        <w:ind w:firstLine="512"/>
        <w:rPr>
          <w:spacing w:val="8"/>
          <w:szCs w:val="24"/>
        </w:rPr>
      </w:pPr>
      <w:bookmarkStart w:id="253" w:name="_Hlk129939919"/>
      <w:r>
        <w:rPr>
          <w:rFonts w:hint="eastAsia"/>
          <w:spacing w:val="8"/>
          <w:szCs w:val="24"/>
        </w:rPr>
        <w:t>（一）对提供直升机固定航线飞行服务的企业，经区工信部门备案，按上年度在坪山区实际运营成本的50%，给予年度最高400万元资助。</w:t>
      </w:r>
    </w:p>
    <w:p>
      <w:pPr>
        <w:ind w:firstLine="512"/>
        <w:rPr>
          <w:spacing w:val="8"/>
          <w:szCs w:val="24"/>
        </w:rPr>
      </w:pPr>
      <w:r>
        <w:rPr>
          <w:rFonts w:hint="eastAsia"/>
          <w:spacing w:val="8"/>
          <w:szCs w:val="24"/>
        </w:rPr>
        <w:t>（二）对为上年度获得《坪山区突出贡献奖》表彰的企业和机构提供直升机乘用服务的直升机运营企业，经区工信部门备案，给予奖励，具体方案由区工信部门另行制定。本条款年度奖励总额最高600万元。</w:t>
      </w:r>
      <w:bookmarkEnd w:id="253"/>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（一）《深圳市坪山区经济发展专项资金管理办法》（深坪府办规〔2023〕1号）</w:t>
      </w:r>
    </w:p>
    <w:p>
      <w:pPr>
        <w:ind w:firstLine="512"/>
        <w:rPr>
          <w:spacing w:val="8"/>
          <w:szCs w:val="24"/>
        </w:rPr>
      </w:pPr>
      <w:r>
        <w:rPr>
          <w:rFonts w:hint="eastAsia"/>
          <w:spacing w:val="8"/>
          <w:szCs w:val="24"/>
        </w:rPr>
        <w:t>（二）《深圳市坪山区服务业高质量发展资金支持措施》（深坪府办规〔2023〕3号）</w:t>
      </w:r>
    </w:p>
    <w:p>
      <w:pPr>
        <w:ind w:firstLine="514"/>
        <w:rPr>
          <w:b/>
          <w:bCs/>
          <w:spacing w:val="8"/>
          <w:szCs w:val="24"/>
        </w:rPr>
      </w:pPr>
      <w:r>
        <w:rPr>
          <w:rFonts w:hint="eastAsia"/>
          <w:b/>
          <w:bCs/>
          <w:spacing w:val="8"/>
          <w:szCs w:val="24"/>
        </w:rPr>
        <w:t>三、申报条件</w:t>
      </w:r>
    </w:p>
    <w:p>
      <w:pPr>
        <w:pStyle w:val="2"/>
        <w:spacing w:line="360" w:lineRule="auto"/>
        <w:ind w:firstLine="256"/>
        <w:rPr>
          <w:rFonts w:ascii="Times New Roman" w:eastAsia="宋体"/>
          <w:spacing w:val="8"/>
          <w:szCs w:val="24"/>
        </w:rPr>
      </w:pPr>
      <w:r>
        <w:rPr>
          <w:rFonts w:hint="eastAsia" w:ascii="Times New Roman" w:eastAsia="宋体"/>
          <w:spacing w:val="8"/>
          <w:szCs w:val="24"/>
        </w:rPr>
        <w:t>（一）申报本条政策资助的单位需满足以下基本条件：</w:t>
      </w:r>
    </w:p>
    <w:p>
      <w:pPr>
        <w:pStyle w:val="2"/>
        <w:spacing w:line="360" w:lineRule="auto"/>
        <w:ind w:firstLine="478" w:firstLineChars="187"/>
        <w:rPr>
          <w:rFonts w:ascii="Times New Roman" w:eastAsia="宋体"/>
          <w:spacing w:val="8"/>
          <w:szCs w:val="24"/>
        </w:rPr>
      </w:pPr>
      <w:r>
        <w:rPr>
          <w:rFonts w:ascii="Times New Roman" w:eastAsia="宋体"/>
          <w:spacing w:val="8"/>
          <w:szCs w:val="24"/>
        </w:rPr>
        <w:t>1</w:t>
      </w:r>
      <w:r>
        <w:rPr>
          <w:rFonts w:hint="eastAsia" w:ascii="Times New Roman" w:eastAsia="宋体"/>
          <w:spacing w:val="8"/>
          <w:szCs w:val="24"/>
        </w:rPr>
        <w:t>.守法经营、诚实守信、有规范健全的财务会计制度。</w:t>
      </w:r>
    </w:p>
    <w:p>
      <w:pPr>
        <w:pStyle w:val="2"/>
        <w:spacing w:line="360" w:lineRule="auto"/>
        <w:ind w:firstLine="256"/>
        <w:rPr>
          <w:rFonts w:ascii="Times New Roman" w:eastAsia="宋体"/>
          <w:spacing w:val="8"/>
          <w:szCs w:val="24"/>
        </w:rPr>
      </w:pPr>
      <w:r>
        <w:rPr>
          <w:rFonts w:hint="eastAsia" w:ascii="Times New Roman" w:eastAsia="宋体"/>
          <w:spacing w:val="8"/>
          <w:szCs w:val="24"/>
        </w:rPr>
        <w:t>（二）申报本条资助的，可不受上年度区级财力贡献限制。</w:t>
      </w:r>
    </w:p>
    <w:p>
      <w:pPr>
        <w:pStyle w:val="2"/>
        <w:spacing w:line="360" w:lineRule="auto"/>
        <w:ind w:firstLine="256"/>
        <w:rPr>
          <w:rFonts w:ascii="Times New Roman" w:eastAsia="宋体"/>
          <w:spacing w:val="8"/>
          <w:szCs w:val="24"/>
        </w:rPr>
      </w:pPr>
      <w:r>
        <w:rPr>
          <w:rFonts w:hint="eastAsia" w:ascii="Times New Roman" w:eastAsia="宋体"/>
          <w:spacing w:val="8"/>
          <w:szCs w:val="24"/>
        </w:rPr>
        <w:t>（三）申报本条第（一）款资助的，可不受注册地、统计地、纳税地限制。</w:t>
      </w:r>
    </w:p>
    <w:p>
      <w:pPr>
        <w:pStyle w:val="2"/>
        <w:spacing w:line="360" w:lineRule="auto"/>
        <w:ind w:firstLine="256"/>
        <w:rPr>
          <w:rFonts w:ascii="Times New Roman" w:eastAsia="宋体"/>
          <w:spacing w:val="8"/>
          <w:szCs w:val="24"/>
        </w:rPr>
      </w:pPr>
      <w:r>
        <w:rPr>
          <w:rFonts w:hint="eastAsia" w:ascii="Times New Roman" w:eastAsia="宋体"/>
          <w:spacing w:val="8"/>
          <w:szCs w:val="24"/>
        </w:rPr>
        <w:t>（四）有下列情况之一的，本条政策不予资助：</w:t>
      </w:r>
      <w:r>
        <w:rPr>
          <w:rFonts w:ascii="Times New Roman" w:eastAsia="宋体"/>
          <w:spacing w:val="8"/>
          <w:szCs w:val="24"/>
        </w:rPr>
        <w:t xml:space="preserve"> </w:t>
      </w:r>
    </w:p>
    <w:p>
      <w:pPr>
        <w:ind w:firstLine="512"/>
        <w:rPr>
          <w:spacing w:val="8"/>
          <w:szCs w:val="24"/>
        </w:rPr>
      </w:pPr>
      <w:r>
        <w:rPr>
          <w:spacing w:val="8"/>
          <w:szCs w:val="24"/>
        </w:rPr>
        <w:t>1</w:t>
      </w:r>
      <w:r>
        <w:rPr>
          <w:rFonts w:hint="eastAsia"/>
          <w:spacing w:val="8"/>
          <w:szCs w:val="24"/>
        </w:rPr>
        <w:t>.被司法机关认定存在行贿行为，且被列入坪山区不良经营主体名单并在影响期内的；</w:t>
      </w:r>
    </w:p>
    <w:p>
      <w:pPr>
        <w:pStyle w:val="2"/>
        <w:spacing w:line="360" w:lineRule="auto"/>
        <w:ind w:firstLine="478" w:firstLineChars="187"/>
        <w:rPr>
          <w:rFonts w:ascii="Times New Roman" w:eastAsia="宋体"/>
          <w:spacing w:val="8"/>
          <w:szCs w:val="24"/>
        </w:rPr>
      </w:pPr>
      <w:r>
        <w:rPr>
          <w:rFonts w:ascii="Times New Roman" w:eastAsia="宋体"/>
          <w:spacing w:val="8"/>
          <w:szCs w:val="24"/>
        </w:rPr>
        <w:t>2</w:t>
      </w:r>
      <w:r>
        <w:rPr>
          <w:rFonts w:hint="eastAsia" w:ascii="Times New Roman" w:eastAsia="宋体"/>
          <w:spacing w:val="8"/>
          <w:szCs w:val="24"/>
        </w:rPr>
        <w:t>.在申报专项资金过程中弄虚作假，虚报、谎报企业信息，或拒绝配合专项资金绩效评价和监督检查的；</w:t>
      </w:r>
    </w:p>
    <w:p>
      <w:pPr>
        <w:pStyle w:val="2"/>
        <w:spacing w:line="360" w:lineRule="auto"/>
        <w:ind w:firstLine="478" w:firstLineChars="187"/>
        <w:rPr>
          <w:rFonts w:ascii="Times New Roman" w:eastAsia="宋体"/>
          <w:spacing w:val="8"/>
          <w:szCs w:val="24"/>
        </w:rPr>
      </w:pPr>
      <w:r>
        <w:rPr>
          <w:rFonts w:ascii="Times New Roman" w:eastAsia="宋体"/>
          <w:spacing w:val="8"/>
          <w:szCs w:val="24"/>
        </w:rPr>
        <w:t>3</w:t>
      </w:r>
      <w:r>
        <w:rPr>
          <w:rFonts w:hint="eastAsia" w:ascii="Times New Roman" w:eastAsia="宋体"/>
          <w:spacing w:val="8"/>
          <w:szCs w:val="24"/>
        </w:rPr>
        <w:t>.同一事项已获得区级财政资金资助的；</w:t>
      </w:r>
    </w:p>
    <w:p>
      <w:pPr>
        <w:pStyle w:val="2"/>
        <w:spacing w:line="360" w:lineRule="auto"/>
        <w:ind w:firstLine="478" w:firstLineChars="187"/>
        <w:rPr>
          <w:rFonts w:ascii="Times New Roman" w:eastAsia="宋体"/>
          <w:spacing w:val="8"/>
          <w:szCs w:val="24"/>
        </w:rPr>
      </w:pPr>
      <w:r>
        <w:rPr>
          <w:rFonts w:ascii="Times New Roman" w:eastAsia="宋体"/>
          <w:spacing w:val="8"/>
          <w:szCs w:val="24"/>
        </w:rPr>
        <w:t>4</w:t>
      </w:r>
      <w:r>
        <w:rPr>
          <w:rFonts w:hint="eastAsia" w:ascii="Times New Roman" w:eastAsia="宋体"/>
          <w:spacing w:val="8"/>
          <w:szCs w:val="24"/>
        </w:rPr>
        <w:t>.被列入全国范围内实施的严重失信主体名单；</w:t>
      </w:r>
    </w:p>
    <w:p>
      <w:pPr>
        <w:pStyle w:val="2"/>
        <w:spacing w:line="360" w:lineRule="auto"/>
        <w:ind w:firstLine="478" w:firstLineChars="187"/>
        <w:rPr>
          <w:rFonts w:ascii="Times New Roman" w:eastAsia="宋体"/>
          <w:spacing w:val="8"/>
          <w:szCs w:val="24"/>
        </w:rPr>
      </w:pPr>
      <w:r>
        <w:rPr>
          <w:rFonts w:ascii="Times New Roman" w:eastAsia="宋体"/>
          <w:spacing w:val="8"/>
          <w:szCs w:val="24"/>
        </w:rPr>
        <w:t>5</w:t>
      </w:r>
      <w:r>
        <w:rPr>
          <w:rFonts w:hint="eastAsia" w:ascii="Times New Roman" w:eastAsia="宋体"/>
          <w:spacing w:val="8"/>
          <w:szCs w:val="24"/>
        </w:rPr>
        <w:t>.法律、法规规定的其他情形。</w:t>
      </w:r>
    </w:p>
    <w:p>
      <w:pPr>
        <w:pStyle w:val="2"/>
        <w:spacing w:line="360" w:lineRule="auto"/>
        <w:ind w:firstLine="478" w:firstLineChars="187"/>
        <w:rPr>
          <w:rFonts w:ascii="Times New Roman" w:eastAsia="宋体"/>
          <w:spacing w:val="8"/>
          <w:szCs w:val="24"/>
        </w:rPr>
      </w:pPr>
      <w:r>
        <w:rPr>
          <w:rFonts w:hint="eastAsia" w:ascii="Times New Roman" w:eastAsia="宋体"/>
          <w:spacing w:val="8"/>
          <w:szCs w:val="24"/>
        </w:rPr>
        <w:t>（五）申报本条第（二）款资助的，须先备案后申报（备案指南另行发布）。</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本资助计划属核准类。</w:t>
      </w:r>
    </w:p>
    <w:p>
      <w:pPr>
        <w:ind w:firstLine="514"/>
        <w:rPr>
          <w:b/>
          <w:spacing w:val="10"/>
          <w:szCs w:val="24"/>
        </w:rPr>
      </w:pPr>
      <w:r>
        <w:rPr>
          <w:rFonts w:hint="eastAsia"/>
          <w:b/>
          <w:bCs/>
          <w:spacing w:val="8"/>
          <w:szCs w:val="24"/>
        </w:rPr>
        <w:t>五、</w:t>
      </w:r>
      <w:r>
        <w:rPr>
          <w:rFonts w:hint="eastAsia"/>
          <w:b/>
          <w:spacing w:val="10"/>
          <w:szCs w:val="24"/>
        </w:rPr>
        <w:t>所需材料及自查单</w:t>
      </w:r>
    </w:p>
    <w:p>
      <w:pPr>
        <w:ind w:firstLine="514"/>
        <w:rPr>
          <w:b/>
          <w:bCs/>
          <w:szCs w:val="28"/>
        </w:rPr>
      </w:pPr>
      <w:r>
        <w:rPr>
          <w:rFonts w:hint="eastAsia"/>
          <w:b/>
          <w:bCs/>
          <w:spacing w:val="8"/>
          <w:szCs w:val="24"/>
        </w:rPr>
        <w:t>所有纸质申报材料一式两份，A4纸双面打印，编制目录和页码，胶装成册，每页需加盖单位公章，并加盖骑缝章。</w:t>
      </w:r>
    </w:p>
    <w:tbl>
      <w:tblPr>
        <w:tblStyle w:val="2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469"/>
        <w:gridCol w:w="5353"/>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序号</w:t>
            </w:r>
          </w:p>
        </w:tc>
        <w:tc>
          <w:tcPr>
            <w:tcW w:w="682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32"/>
              </w:rPr>
            </w:pPr>
            <w:r>
              <w:rPr>
                <w:rFonts w:hint="eastAsia"/>
                <w:szCs w:val="28"/>
              </w:rPr>
              <w:t>材料名称</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（一）</w:t>
            </w:r>
          </w:p>
        </w:tc>
        <w:tc>
          <w:tcPr>
            <w:tcW w:w="1469" w:type="dxa"/>
            <w:vMerge w:val="restart"/>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基础材料</w:t>
            </w:r>
          </w:p>
        </w:tc>
        <w:tc>
          <w:tcPr>
            <w:tcW w:w="5353"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rFonts w:ascii="宋体" w:hAnsi="宋体"/>
                <w:szCs w:val="24"/>
              </w:rPr>
            </w:pPr>
            <w:r>
              <w:rPr>
                <w:rFonts w:hint="eastAsia"/>
                <w:szCs w:val="28"/>
              </w:rPr>
              <w:t>1.《支持服务业新业态发展类—支持直升机固定航线发展专项资助项目申报书》；</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9" w:type="dxa"/>
            <w:vMerge w:val="continue"/>
            <w:tcBorders>
              <w:left w:val="single" w:color="auto" w:sz="4" w:space="0"/>
              <w:right w:val="single" w:color="auto" w:sz="4" w:space="0"/>
            </w:tcBorders>
            <w:vAlign w:val="center"/>
          </w:tcPr>
          <w:p>
            <w:pPr>
              <w:ind w:firstLine="0" w:firstLineChars="0"/>
              <w:rPr>
                <w:szCs w:val="28"/>
              </w:rPr>
            </w:pPr>
          </w:p>
        </w:tc>
        <w:tc>
          <w:tcPr>
            <w:tcW w:w="5353"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rFonts w:ascii="宋体" w:hAnsi="宋体"/>
                <w:szCs w:val="24"/>
              </w:rPr>
            </w:pPr>
            <w:r>
              <w:rPr>
                <w:rFonts w:hint="eastAsia"/>
                <w:szCs w:val="28"/>
              </w:rPr>
              <w:t>2.营业执照复印件（三证合一新版）（验原件，收复印件）；</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9" w:type="dxa"/>
            <w:vMerge w:val="continue"/>
            <w:tcBorders>
              <w:left w:val="single" w:color="auto" w:sz="4" w:space="0"/>
              <w:right w:val="single" w:color="auto" w:sz="4" w:space="0"/>
            </w:tcBorders>
            <w:vAlign w:val="center"/>
          </w:tcPr>
          <w:p>
            <w:pPr>
              <w:ind w:firstLine="0" w:firstLineChars="0"/>
              <w:rPr>
                <w:szCs w:val="28"/>
              </w:rPr>
            </w:pPr>
          </w:p>
        </w:tc>
        <w:tc>
          <w:tcPr>
            <w:tcW w:w="5353"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3.法定代表人身份证复印件和签字样本；</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ind w:firstLine="0" w:firstLineChars="0"/>
              <w:jc w:val="center"/>
              <w:rPr>
                <w:rFonts w:ascii="宋体" w:hAnsi="宋体"/>
                <w:szCs w:val="24"/>
              </w:rPr>
            </w:pPr>
          </w:p>
        </w:tc>
        <w:tc>
          <w:tcPr>
            <w:tcW w:w="1469" w:type="dxa"/>
            <w:vMerge w:val="continue"/>
            <w:tcBorders>
              <w:left w:val="single" w:color="auto" w:sz="4" w:space="0"/>
              <w:right w:val="single" w:color="auto" w:sz="4" w:space="0"/>
            </w:tcBorders>
            <w:vAlign w:val="center"/>
          </w:tcPr>
          <w:p>
            <w:pPr>
              <w:ind w:firstLine="0" w:firstLineChars="0"/>
              <w:rPr>
                <w:szCs w:val="28"/>
              </w:rPr>
            </w:pPr>
          </w:p>
        </w:tc>
        <w:tc>
          <w:tcPr>
            <w:tcW w:w="5353" w:type="dxa"/>
            <w:tcBorders>
              <w:top w:val="single" w:color="auto" w:sz="4" w:space="0"/>
              <w:left w:val="single" w:color="auto" w:sz="4" w:space="0"/>
              <w:bottom w:val="single" w:color="auto" w:sz="4" w:space="0"/>
              <w:right w:val="single" w:color="auto" w:sz="4" w:space="0"/>
            </w:tcBorders>
            <w:vAlign w:val="center"/>
          </w:tcPr>
          <w:p>
            <w:pPr>
              <w:ind w:left="192" w:hanging="192" w:hangingChars="80"/>
              <w:rPr>
                <w:rFonts w:ascii="宋体" w:hAnsi="宋体"/>
                <w:szCs w:val="24"/>
              </w:rPr>
            </w:pPr>
            <w:r>
              <w:rPr>
                <w:rFonts w:hint="eastAsia"/>
                <w:szCs w:val="28"/>
              </w:rPr>
              <w:t>4.2022年度纳税证明；</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（二）</w:t>
            </w:r>
          </w:p>
        </w:tc>
        <w:tc>
          <w:tcPr>
            <w:tcW w:w="1469" w:type="dxa"/>
            <w:tcBorders>
              <w:top w:val="single" w:color="auto" w:sz="4" w:space="0"/>
              <w:left w:val="single" w:color="auto" w:sz="4" w:space="0"/>
              <w:right w:val="single" w:color="auto" w:sz="4" w:space="0"/>
            </w:tcBorders>
            <w:vAlign w:val="center"/>
          </w:tcPr>
          <w:p>
            <w:pPr>
              <w:ind w:firstLine="0" w:firstLineChars="0"/>
              <w:jc w:val="center"/>
              <w:rPr>
                <w:szCs w:val="28"/>
              </w:rPr>
            </w:pPr>
            <w:r>
              <w:rPr>
                <w:rFonts w:hint="eastAsia"/>
                <w:szCs w:val="28"/>
              </w:rPr>
              <w:t>申报本条第（一）款资助的还需同时提供</w:t>
            </w:r>
          </w:p>
        </w:tc>
        <w:tc>
          <w:tcPr>
            <w:tcW w:w="5353" w:type="dxa"/>
            <w:tcBorders>
              <w:top w:val="single" w:color="auto" w:sz="4" w:space="0"/>
              <w:left w:val="single" w:color="auto" w:sz="4" w:space="0"/>
              <w:bottom w:val="single" w:color="auto" w:sz="4" w:space="0"/>
              <w:right w:val="single" w:color="auto" w:sz="4" w:space="0"/>
            </w:tcBorders>
            <w:vAlign w:val="center"/>
          </w:tcPr>
          <w:p>
            <w:pPr>
              <w:ind w:left="205" w:hanging="204" w:hangingChars="80"/>
              <w:rPr>
                <w:spacing w:val="8"/>
                <w:szCs w:val="24"/>
              </w:rPr>
            </w:pPr>
            <w:r>
              <w:rPr>
                <w:spacing w:val="8"/>
                <w:szCs w:val="24"/>
              </w:rPr>
              <w:t>5</w:t>
            </w:r>
            <w:r>
              <w:rPr>
                <w:rFonts w:hint="eastAsia"/>
                <w:spacing w:val="8"/>
                <w:szCs w:val="24"/>
              </w:rPr>
              <w:t>.注册会计师行业统一监管平台备案的直升机固定航线飞行服务运营成本专项审计报告（格式参见第六部分《项目专项审计报告提纲》）（验原件，收复印件）；区工业和信息化局备案证明；</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（三）</w:t>
            </w:r>
          </w:p>
        </w:tc>
        <w:tc>
          <w:tcPr>
            <w:tcW w:w="682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szCs w:val="28"/>
              </w:rPr>
              <w:t>审核部门要求的其他材料。</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ascii="宋体" w:hAnsi="宋体"/>
                <w:szCs w:val="24"/>
              </w:rPr>
            </w:pPr>
          </w:p>
          <w:p>
            <w:pPr>
              <w:pStyle w:val="2"/>
              <w:spacing w:line="360" w:lineRule="auto"/>
              <w:ind w:firstLine="240"/>
            </w:pPr>
          </w:p>
          <w:p>
            <w:pPr>
              <w:pStyle w:val="2"/>
              <w:spacing w:line="360" w:lineRule="auto"/>
              <w:ind w:firstLine="240"/>
            </w:pPr>
          </w:p>
          <w:p>
            <w:pPr>
              <w:pStyle w:val="2"/>
              <w:spacing w:line="360" w:lineRule="auto"/>
              <w:ind w:firstLine="240"/>
            </w:pPr>
          </w:p>
          <w:p>
            <w:pPr>
              <w:ind w:firstLine="0" w:firstLineChars="0"/>
              <w:jc w:val="left"/>
              <w:rPr>
                <w:rFonts w:ascii="宋体" w:hAnsi="宋体"/>
                <w:szCs w:val="24"/>
              </w:rPr>
            </w:pPr>
          </w:p>
        </w:tc>
      </w:tr>
    </w:tbl>
    <w:p>
      <w:pPr>
        <w:ind w:firstLine="800"/>
        <w:rPr>
          <w:rFonts w:ascii="微软雅黑" w:hAnsi="微软雅黑" w:eastAsia="微软雅黑"/>
          <w:kern w:val="24"/>
          <w:sz w:val="40"/>
          <w:szCs w:val="11"/>
        </w:rPr>
      </w:pPr>
      <w:r>
        <w:rPr>
          <w:rFonts w:hint="eastAsia" w:ascii="微软雅黑" w:hAnsi="微软雅黑" w:eastAsia="微软雅黑"/>
          <w:kern w:val="24"/>
          <w:sz w:val="40"/>
          <w:szCs w:val="11"/>
        </w:rPr>
        <w:br w:type="page"/>
      </w:r>
    </w:p>
    <w:p>
      <w:pPr>
        <w:pStyle w:val="4"/>
        <w:spacing w:before="0" w:after="0" w:line="360" w:lineRule="auto"/>
        <w:ind w:left="800" w:hanging="803" w:hangingChars="200"/>
        <w:jc w:val="center"/>
        <w:rPr>
          <w:rFonts w:ascii="微软雅黑" w:hAnsi="微软雅黑" w:eastAsia="微软雅黑"/>
          <w:kern w:val="24"/>
          <w:sz w:val="40"/>
          <w:szCs w:val="11"/>
        </w:rPr>
      </w:pPr>
      <w:bookmarkStart w:id="254" w:name="_Toc130905490"/>
      <w:bookmarkStart w:id="255" w:name="_Toc138949359"/>
      <w:r>
        <w:rPr>
          <w:rFonts w:hint="eastAsia" w:ascii="微软雅黑" w:hAnsi="微软雅黑" w:eastAsia="微软雅黑"/>
          <w:kern w:val="24"/>
          <w:sz w:val="40"/>
          <w:szCs w:val="11"/>
        </w:rPr>
        <w:t>第五部分  经济发展专项资助政策及相关文件</w:t>
      </w:r>
      <w:bookmarkEnd w:id="244"/>
      <w:bookmarkEnd w:id="245"/>
      <w:bookmarkEnd w:id="246"/>
      <w:bookmarkEnd w:id="247"/>
      <w:bookmarkEnd w:id="248"/>
      <w:bookmarkEnd w:id="254"/>
      <w:bookmarkEnd w:id="255"/>
    </w:p>
    <w:p>
      <w:pPr>
        <w:pStyle w:val="28"/>
        <w:spacing w:before="312" w:line="360" w:lineRule="auto"/>
        <w:outlineLvl w:val="2"/>
      </w:pPr>
      <w:bookmarkStart w:id="256" w:name="_Toc225468736"/>
      <w:bookmarkStart w:id="257" w:name="_Toc130905491"/>
      <w:bookmarkStart w:id="258" w:name="_Toc14302"/>
      <w:bookmarkStart w:id="259" w:name="_Toc12265884"/>
      <w:bookmarkStart w:id="260" w:name="_Toc228409711"/>
      <w:bookmarkStart w:id="261" w:name="_Toc97236233"/>
      <w:bookmarkStart w:id="262" w:name="_Toc138949360"/>
      <w:r>
        <w:rPr>
          <w:rFonts w:hint="eastAsia"/>
        </w:rPr>
        <w:t>（一）深圳市坪山区经济发展专项资金管理办法</w:t>
      </w:r>
      <w:bookmarkEnd w:id="249"/>
      <w:bookmarkEnd w:id="256"/>
      <w:bookmarkEnd w:id="257"/>
      <w:bookmarkEnd w:id="258"/>
      <w:bookmarkEnd w:id="259"/>
      <w:bookmarkEnd w:id="260"/>
      <w:bookmarkEnd w:id="261"/>
      <w:bookmarkEnd w:id="262"/>
    </w:p>
    <w:p>
      <w:pPr>
        <w:ind w:firstLine="480"/>
        <w:jc w:val="center"/>
        <w:rPr>
          <w:szCs w:val="32"/>
        </w:rPr>
      </w:pPr>
    </w:p>
    <w:p>
      <w:pPr>
        <w:widowControl/>
        <w:adjustRightInd w:val="0"/>
        <w:snapToGrid w:val="0"/>
        <w:ind w:firstLine="0" w:firstLineChars="0"/>
        <w:jc w:val="center"/>
        <w:rPr>
          <w:szCs w:val="24"/>
        </w:rPr>
      </w:pPr>
      <w:bookmarkStart w:id="263" w:name="_Toc130905492"/>
      <w:bookmarkStart w:id="264" w:name="_Toc888098326"/>
      <w:bookmarkStart w:id="265" w:name="_Toc800453182"/>
      <w:bookmarkStart w:id="266" w:name="_Toc249538210"/>
      <w:bookmarkStart w:id="267" w:name="_Toc28357"/>
      <w:bookmarkStart w:id="268" w:name="_Toc344925493"/>
      <w:bookmarkStart w:id="269" w:name="_Toc74931575"/>
      <w:r>
        <w:rPr>
          <w:rFonts w:hint="eastAsia"/>
          <w:szCs w:val="24"/>
        </w:rPr>
        <w:t>第一章  总则</w:t>
      </w:r>
      <w:bookmarkEnd w:id="263"/>
    </w:p>
    <w:p>
      <w:pPr>
        <w:widowControl/>
        <w:adjustRightInd w:val="0"/>
        <w:snapToGrid w:val="0"/>
        <w:ind w:firstLine="480"/>
        <w:rPr>
          <w:szCs w:val="24"/>
        </w:rPr>
      </w:pPr>
      <w:bookmarkStart w:id="270" w:name="_Toc54343926"/>
      <w:bookmarkStart w:id="271" w:name="_Toc69737851"/>
      <w:bookmarkStart w:id="272" w:name="_Toc65678352"/>
    </w:p>
    <w:p>
      <w:pPr>
        <w:widowControl/>
        <w:adjustRightInd w:val="0"/>
        <w:snapToGrid w:val="0"/>
        <w:ind w:firstLine="480"/>
        <w:rPr>
          <w:szCs w:val="24"/>
        </w:rPr>
      </w:pPr>
      <w:r>
        <w:rPr>
          <w:rFonts w:hint="eastAsia"/>
          <w:szCs w:val="24"/>
        </w:rPr>
        <w:t>第一条 【目的与依据】</w:t>
      </w:r>
    </w:p>
    <w:p>
      <w:pPr>
        <w:widowControl/>
        <w:adjustRightInd w:val="0"/>
        <w:snapToGrid w:val="0"/>
        <w:ind w:firstLine="480"/>
        <w:rPr>
          <w:szCs w:val="24"/>
        </w:rPr>
      </w:pPr>
      <w:r>
        <w:rPr>
          <w:rFonts w:hint="eastAsia"/>
          <w:szCs w:val="24"/>
        </w:rPr>
        <w:t>为抢抓“双区”驱动、“双区”叠加、“双改”示范等重大历史机遇，充分发挥坪山区经济发展专项资金导向和激励作用，全面推进“创新坪山、未来之城”建设，根据《中华人民共和国预算法》、《深圳市市级财政专项资金管理办法》（深府规〔2018〕12号）、《坪山区区级财政专项资金管理办法（修订）》（深坪府办函〔2020〕11号）等有关规定，结合坪山区实际，制定本办法。</w:t>
      </w:r>
    </w:p>
    <w:p>
      <w:pPr>
        <w:widowControl/>
        <w:adjustRightInd w:val="0"/>
        <w:snapToGrid w:val="0"/>
        <w:ind w:firstLine="480"/>
        <w:rPr>
          <w:szCs w:val="24"/>
        </w:rPr>
      </w:pPr>
      <w:r>
        <w:rPr>
          <w:rFonts w:hint="eastAsia"/>
          <w:szCs w:val="24"/>
        </w:rPr>
        <w:t>第二条 【专项资金类别】</w:t>
      </w:r>
    </w:p>
    <w:p>
      <w:pPr>
        <w:widowControl/>
        <w:adjustRightInd w:val="0"/>
        <w:snapToGrid w:val="0"/>
        <w:ind w:firstLine="480"/>
        <w:rPr>
          <w:szCs w:val="24"/>
        </w:rPr>
      </w:pPr>
      <w:r>
        <w:rPr>
          <w:rFonts w:hint="eastAsia"/>
          <w:szCs w:val="24"/>
        </w:rPr>
        <w:t>本办法所称的经济发展专项资金（以下简称“专项资金”），是指列入区财政预算安排，区工业和信息化局作为主管部门，用于支持坪山区经济发展的资金。专项资金实行专款专用，各部门依照本办法规定履行相应职能。</w:t>
      </w:r>
    </w:p>
    <w:p>
      <w:pPr>
        <w:widowControl/>
        <w:adjustRightInd w:val="0"/>
        <w:snapToGrid w:val="0"/>
        <w:ind w:firstLine="480"/>
        <w:rPr>
          <w:szCs w:val="24"/>
        </w:rPr>
      </w:pPr>
      <w:r>
        <w:rPr>
          <w:rFonts w:hint="eastAsia"/>
          <w:szCs w:val="24"/>
        </w:rPr>
        <w:t>第三条 【审核与资助方式】</w:t>
      </w:r>
    </w:p>
    <w:p>
      <w:pPr>
        <w:widowControl/>
        <w:adjustRightInd w:val="0"/>
        <w:snapToGrid w:val="0"/>
        <w:ind w:firstLine="480"/>
        <w:rPr>
          <w:szCs w:val="24"/>
        </w:rPr>
      </w:pPr>
      <w:r>
        <w:rPr>
          <w:rFonts w:hint="eastAsia"/>
          <w:szCs w:val="24"/>
        </w:rPr>
        <w:t>专项资金包括评审类资助和核准类资助，以核准类的事后资助方式为主。</w:t>
      </w:r>
    </w:p>
    <w:p>
      <w:pPr>
        <w:widowControl/>
        <w:adjustRightInd w:val="0"/>
        <w:snapToGrid w:val="0"/>
        <w:ind w:firstLine="480"/>
        <w:rPr>
          <w:szCs w:val="24"/>
        </w:rPr>
      </w:pPr>
      <w:r>
        <w:rPr>
          <w:rFonts w:hint="eastAsia"/>
          <w:szCs w:val="24"/>
        </w:rPr>
        <w:t>第四条 【预算管理】</w:t>
      </w:r>
    </w:p>
    <w:p>
      <w:pPr>
        <w:widowControl/>
        <w:adjustRightInd w:val="0"/>
        <w:snapToGrid w:val="0"/>
        <w:ind w:firstLine="480"/>
        <w:rPr>
          <w:szCs w:val="24"/>
        </w:rPr>
      </w:pPr>
      <w:r>
        <w:rPr>
          <w:rFonts w:hint="eastAsia"/>
          <w:szCs w:val="24"/>
        </w:rPr>
        <w:t>（一）区工业和信息化局结合政策及当年企业实际情况，测算下一年度专项资金规模，编制专项资金年度支出计划，申报专项资金预算。</w:t>
      </w:r>
    </w:p>
    <w:p>
      <w:pPr>
        <w:widowControl/>
        <w:adjustRightInd w:val="0"/>
        <w:snapToGrid w:val="0"/>
        <w:ind w:firstLine="480"/>
        <w:rPr>
          <w:szCs w:val="24"/>
        </w:rPr>
      </w:pPr>
      <w:r>
        <w:rPr>
          <w:rFonts w:hint="eastAsia"/>
          <w:szCs w:val="24"/>
        </w:rPr>
        <w:t>（二）区财政局根据专项资金需求，结合区级财力安排资金，并纳入区工业和信息化局年度部门预算。</w:t>
      </w:r>
    </w:p>
    <w:p>
      <w:pPr>
        <w:widowControl/>
        <w:adjustRightInd w:val="0"/>
        <w:snapToGrid w:val="0"/>
        <w:ind w:firstLine="480"/>
        <w:rPr>
          <w:szCs w:val="24"/>
        </w:rPr>
      </w:pPr>
      <w:r>
        <w:rPr>
          <w:rFonts w:hint="eastAsia"/>
          <w:szCs w:val="24"/>
        </w:rPr>
        <w:t>（三）专项资金内不同资助类别的资金额度，可由区工业和信息化局按实际需求和使用情况，在专项资金预算额度内统筹调剂，并报区财政局备案。</w:t>
      </w:r>
    </w:p>
    <w:p>
      <w:pPr>
        <w:widowControl/>
        <w:adjustRightInd w:val="0"/>
        <w:snapToGrid w:val="0"/>
        <w:ind w:firstLine="480"/>
        <w:rPr>
          <w:szCs w:val="24"/>
        </w:rPr>
      </w:pPr>
    </w:p>
    <w:p>
      <w:pPr>
        <w:widowControl/>
        <w:adjustRightInd w:val="0"/>
        <w:snapToGrid w:val="0"/>
        <w:ind w:firstLine="0" w:firstLineChars="0"/>
        <w:jc w:val="center"/>
        <w:rPr>
          <w:szCs w:val="24"/>
        </w:rPr>
      </w:pPr>
      <w:r>
        <w:rPr>
          <w:rFonts w:hint="eastAsia"/>
          <w:szCs w:val="24"/>
        </w:rPr>
        <w:t>第二章  管理职责和分工</w:t>
      </w:r>
    </w:p>
    <w:p>
      <w:pPr>
        <w:widowControl/>
        <w:adjustRightInd w:val="0"/>
        <w:snapToGrid w:val="0"/>
        <w:ind w:firstLine="480"/>
        <w:rPr>
          <w:szCs w:val="24"/>
        </w:rPr>
      </w:pPr>
    </w:p>
    <w:p>
      <w:pPr>
        <w:widowControl/>
        <w:adjustRightInd w:val="0"/>
        <w:snapToGrid w:val="0"/>
        <w:ind w:firstLine="480"/>
        <w:rPr>
          <w:szCs w:val="24"/>
        </w:rPr>
      </w:pPr>
      <w:r>
        <w:rPr>
          <w:rFonts w:hint="eastAsia"/>
          <w:szCs w:val="24"/>
        </w:rPr>
        <w:t>第五条 【主管部门职责】</w:t>
      </w:r>
    </w:p>
    <w:p>
      <w:pPr>
        <w:widowControl/>
        <w:adjustRightInd w:val="0"/>
        <w:snapToGrid w:val="0"/>
        <w:ind w:firstLine="480"/>
        <w:rPr>
          <w:szCs w:val="24"/>
        </w:rPr>
      </w:pPr>
      <w:r>
        <w:rPr>
          <w:rFonts w:hint="eastAsia"/>
          <w:szCs w:val="24"/>
        </w:rPr>
        <w:t>区工业和信息化局是专项资金的主管部门，负责专项资金的日常管理，其职责是：</w:t>
      </w:r>
    </w:p>
    <w:p>
      <w:pPr>
        <w:widowControl/>
        <w:adjustRightInd w:val="0"/>
        <w:snapToGrid w:val="0"/>
        <w:ind w:firstLine="480"/>
        <w:rPr>
          <w:szCs w:val="24"/>
        </w:rPr>
      </w:pPr>
      <w:r>
        <w:rPr>
          <w:rFonts w:hint="eastAsia"/>
          <w:szCs w:val="24"/>
        </w:rPr>
        <w:t>（一）制定专项资金资助政策及申报指南。</w:t>
      </w:r>
    </w:p>
    <w:p>
      <w:pPr>
        <w:widowControl/>
        <w:adjustRightInd w:val="0"/>
        <w:snapToGrid w:val="0"/>
        <w:ind w:firstLine="480"/>
        <w:rPr>
          <w:szCs w:val="24"/>
        </w:rPr>
      </w:pPr>
      <w:r>
        <w:rPr>
          <w:rFonts w:hint="eastAsia"/>
          <w:szCs w:val="24"/>
        </w:rPr>
        <w:t>（二）受理和审核专项资金申请。</w:t>
      </w:r>
    </w:p>
    <w:p>
      <w:pPr>
        <w:widowControl/>
        <w:adjustRightInd w:val="0"/>
        <w:snapToGrid w:val="0"/>
        <w:ind w:firstLine="480"/>
        <w:rPr>
          <w:szCs w:val="24"/>
        </w:rPr>
      </w:pPr>
      <w:r>
        <w:rPr>
          <w:rFonts w:hint="eastAsia"/>
          <w:szCs w:val="24"/>
        </w:rPr>
        <w:t>（三）编制年度专项资金支出计划，申报年度专项资金预算。</w:t>
      </w:r>
    </w:p>
    <w:p>
      <w:pPr>
        <w:widowControl/>
        <w:adjustRightInd w:val="0"/>
        <w:snapToGrid w:val="0"/>
        <w:ind w:firstLine="480"/>
        <w:rPr>
          <w:szCs w:val="24"/>
        </w:rPr>
      </w:pPr>
      <w:r>
        <w:rPr>
          <w:rFonts w:hint="eastAsia"/>
          <w:szCs w:val="24"/>
        </w:rPr>
        <w:t>（四）与资助对象签订专项资金资助合同。</w:t>
      </w:r>
    </w:p>
    <w:p>
      <w:pPr>
        <w:widowControl/>
        <w:adjustRightInd w:val="0"/>
        <w:snapToGrid w:val="0"/>
        <w:ind w:firstLine="480"/>
        <w:rPr>
          <w:szCs w:val="24"/>
        </w:rPr>
      </w:pPr>
      <w:r>
        <w:rPr>
          <w:rFonts w:hint="eastAsia"/>
          <w:szCs w:val="24"/>
        </w:rPr>
        <w:t>（五）根据下达的资助计划拨付专项资金。</w:t>
      </w:r>
    </w:p>
    <w:p>
      <w:pPr>
        <w:widowControl/>
        <w:adjustRightInd w:val="0"/>
        <w:snapToGrid w:val="0"/>
        <w:ind w:firstLine="480"/>
        <w:rPr>
          <w:szCs w:val="24"/>
        </w:rPr>
      </w:pPr>
      <w:r>
        <w:rPr>
          <w:rFonts w:hint="eastAsia"/>
          <w:szCs w:val="24"/>
        </w:rPr>
        <w:t>（六）负责对专项资金的使用进行管理。</w:t>
      </w:r>
    </w:p>
    <w:p>
      <w:pPr>
        <w:widowControl/>
        <w:adjustRightInd w:val="0"/>
        <w:snapToGrid w:val="0"/>
        <w:ind w:firstLine="480"/>
        <w:rPr>
          <w:szCs w:val="24"/>
        </w:rPr>
      </w:pPr>
      <w:r>
        <w:rPr>
          <w:rFonts w:hint="eastAsia"/>
          <w:szCs w:val="24"/>
        </w:rPr>
        <w:t>（七）开展专项资金绩效自评，并配合区财政局开展重点绩效评价。</w:t>
      </w:r>
    </w:p>
    <w:p>
      <w:pPr>
        <w:widowControl/>
        <w:adjustRightInd w:val="0"/>
        <w:snapToGrid w:val="0"/>
        <w:ind w:firstLine="480"/>
        <w:rPr>
          <w:szCs w:val="24"/>
        </w:rPr>
      </w:pPr>
      <w:r>
        <w:rPr>
          <w:rFonts w:hint="eastAsia"/>
          <w:szCs w:val="24"/>
        </w:rPr>
        <w:t>（八）负责专项资金的信息发布（涉密信息除外）。</w:t>
      </w:r>
    </w:p>
    <w:p>
      <w:pPr>
        <w:widowControl/>
        <w:adjustRightInd w:val="0"/>
        <w:snapToGrid w:val="0"/>
        <w:ind w:firstLine="480"/>
        <w:rPr>
          <w:szCs w:val="24"/>
        </w:rPr>
      </w:pPr>
      <w:r>
        <w:rPr>
          <w:rFonts w:hint="eastAsia"/>
          <w:szCs w:val="24"/>
        </w:rPr>
        <w:t>（九）负责追回有关专项资金。</w:t>
      </w:r>
    </w:p>
    <w:p>
      <w:pPr>
        <w:widowControl/>
        <w:adjustRightInd w:val="0"/>
        <w:snapToGrid w:val="0"/>
        <w:ind w:firstLine="480"/>
        <w:rPr>
          <w:szCs w:val="24"/>
        </w:rPr>
      </w:pPr>
      <w:r>
        <w:rPr>
          <w:rFonts w:hint="eastAsia"/>
          <w:szCs w:val="24"/>
        </w:rPr>
        <w:t>第六条 【财政部门职责】</w:t>
      </w:r>
    </w:p>
    <w:p>
      <w:pPr>
        <w:widowControl/>
        <w:adjustRightInd w:val="0"/>
        <w:snapToGrid w:val="0"/>
        <w:ind w:firstLine="480"/>
        <w:rPr>
          <w:szCs w:val="24"/>
        </w:rPr>
      </w:pPr>
      <w:r>
        <w:rPr>
          <w:rFonts w:hint="eastAsia"/>
          <w:szCs w:val="24"/>
        </w:rPr>
        <w:t>区财政局是专项资金保障与监督部门，其职责是：</w:t>
      </w:r>
    </w:p>
    <w:p>
      <w:pPr>
        <w:widowControl/>
        <w:adjustRightInd w:val="0"/>
        <w:snapToGrid w:val="0"/>
        <w:ind w:firstLine="480"/>
        <w:rPr>
          <w:szCs w:val="24"/>
        </w:rPr>
      </w:pPr>
      <w:r>
        <w:rPr>
          <w:rFonts w:hint="eastAsia"/>
          <w:szCs w:val="24"/>
        </w:rPr>
        <w:t>（一）保障区经济发展专项资金需求。</w:t>
      </w:r>
    </w:p>
    <w:p>
      <w:pPr>
        <w:widowControl/>
        <w:adjustRightInd w:val="0"/>
        <w:snapToGrid w:val="0"/>
        <w:ind w:firstLine="480"/>
        <w:rPr>
          <w:szCs w:val="24"/>
        </w:rPr>
      </w:pPr>
      <w:r>
        <w:rPr>
          <w:rFonts w:hint="eastAsia"/>
          <w:szCs w:val="24"/>
        </w:rPr>
        <w:t>（二）监督检查专项资金的使用情况和绩效评价工作。</w:t>
      </w:r>
    </w:p>
    <w:p>
      <w:pPr>
        <w:widowControl/>
        <w:adjustRightInd w:val="0"/>
        <w:snapToGrid w:val="0"/>
        <w:ind w:firstLine="480"/>
        <w:rPr>
          <w:szCs w:val="24"/>
        </w:rPr>
      </w:pPr>
      <w:r>
        <w:rPr>
          <w:rFonts w:hint="eastAsia"/>
          <w:szCs w:val="24"/>
        </w:rPr>
        <w:t>第七条 【审计部门职责】</w:t>
      </w:r>
    </w:p>
    <w:p>
      <w:pPr>
        <w:widowControl/>
        <w:adjustRightInd w:val="0"/>
        <w:snapToGrid w:val="0"/>
        <w:ind w:firstLine="480"/>
        <w:rPr>
          <w:szCs w:val="24"/>
        </w:rPr>
      </w:pPr>
      <w:r>
        <w:rPr>
          <w:rFonts w:hint="eastAsia"/>
          <w:szCs w:val="24"/>
        </w:rPr>
        <w:t>区审计局按照工作职责，依法对专项资金管理使用情况进行审计监督。</w:t>
      </w:r>
    </w:p>
    <w:p>
      <w:pPr>
        <w:widowControl/>
        <w:adjustRightInd w:val="0"/>
        <w:snapToGrid w:val="0"/>
        <w:ind w:firstLine="480"/>
        <w:rPr>
          <w:szCs w:val="24"/>
        </w:rPr>
      </w:pPr>
      <w:r>
        <w:rPr>
          <w:rFonts w:hint="eastAsia"/>
          <w:szCs w:val="24"/>
        </w:rPr>
        <w:t>第八条 【其他部门职责】</w:t>
      </w:r>
    </w:p>
    <w:p>
      <w:pPr>
        <w:widowControl/>
        <w:adjustRightInd w:val="0"/>
        <w:snapToGrid w:val="0"/>
        <w:ind w:firstLine="480"/>
        <w:rPr>
          <w:szCs w:val="24"/>
        </w:rPr>
      </w:pPr>
      <w:r>
        <w:rPr>
          <w:rFonts w:hint="eastAsia"/>
          <w:szCs w:val="24"/>
        </w:rPr>
        <w:t>区税务局配合区工业和信息化局核实相关税务数据真实性情况，配合开展专项资金绩效评价工作。</w:t>
      </w:r>
    </w:p>
    <w:p>
      <w:pPr>
        <w:widowControl/>
        <w:adjustRightInd w:val="0"/>
        <w:snapToGrid w:val="0"/>
        <w:ind w:firstLine="480"/>
        <w:rPr>
          <w:szCs w:val="24"/>
        </w:rPr>
      </w:pPr>
      <w:r>
        <w:rPr>
          <w:rFonts w:hint="eastAsia"/>
          <w:szCs w:val="24"/>
        </w:rPr>
        <w:t>市市场监督管理局坪山监管局配合区工业和信息化局核查工商注册相关事项，配合开展专项资金绩效评价工作。</w:t>
      </w:r>
    </w:p>
    <w:p>
      <w:pPr>
        <w:widowControl/>
        <w:adjustRightInd w:val="0"/>
        <w:snapToGrid w:val="0"/>
        <w:ind w:firstLine="480"/>
        <w:rPr>
          <w:szCs w:val="24"/>
        </w:rPr>
      </w:pPr>
      <w:r>
        <w:rPr>
          <w:rFonts w:hint="eastAsia"/>
          <w:szCs w:val="24"/>
        </w:rPr>
        <w:t>区人才工作局、区文化广电旅游体育局、区委政法委、区发展和改革局、区科技创新局、区人力资源局、区应急管理局、区统计局、区投资推广服务署、市生态环境局坪山管理局、市规划和自然资源局坪山管理局、市公安局坪山分局、区消防救援大队、坪山海关、区人民法院等区相关部门、各街道办事处、驻区单位，根据各自职能配合区工业和信息化局核查相关事项。</w:t>
      </w:r>
    </w:p>
    <w:p>
      <w:pPr>
        <w:widowControl/>
        <w:adjustRightInd w:val="0"/>
        <w:snapToGrid w:val="0"/>
        <w:ind w:firstLine="0" w:firstLineChars="0"/>
        <w:jc w:val="center"/>
        <w:rPr>
          <w:szCs w:val="24"/>
        </w:rPr>
      </w:pPr>
    </w:p>
    <w:p>
      <w:pPr>
        <w:widowControl/>
        <w:adjustRightInd w:val="0"/>
        <w:snapToGrid w:val="0"/>
        <w:ind w:firstLine="0" w:firstLineChars="0"/>
        <w:jc w:val="center"/>
        <w:rPr>
          <w:szCs w:val="24"/>
        </w:rPr>
      </w:pPr>
      <w:r>
        <w:rPr>
          <w:rFonts w:hint="eastAsia"/>
          <w:szCs w:val="24"/>
        </w:rPr>
        <w:t>第三章  资助对象和范围</w:t>
      </w:r>
    </w:p>
    <w:p>
      <w:pPr>
        <w:widowControl/>
        <w:adjustRightInd w:val="0"/>
        <w:snapToGrid w:val="0"/>
        <w:ind w:firstLine="480"/>
        <w:rPr>
          <w:szCs w:val="24"/>
        </w:rPr>
      </w:pPr>
    </w:p>
    <w:p>
      <w:pPr>
        <w:widowControl/>
        <w:adjustRightInd w:val="0"/>
        <w:snapToGrid w:val="0"/>
        <w:ind w:firstLine="480"/>
        <w:rPr>
          <w:szCs w:val="24"/>
        </w:rPr>
      </w:pPr>
      <w:r>
        <w:rPr>
          <w:rFonts w:hint="eastAsia"/>
          <w:szCs w:val="24"/>
        </w:rPr>
        <w:t>第九条 【资助对象】</w:t>
      </w:r>
    </w:p>
    <w:p>
      <w:pPr>
        <w:widowControl/>
        <w:adjustRightInd w:val="0"/>
        <w:snapToGrid w:val="0"/>
        <w:ind w:firstLine="480"/>
        <w:rPr>
          <w:szCs w:val="24"/>
        </w:rPr>
      </w:pPr>
      <w:r>
        <w:rPr>
          <w:rFonts w:hint="eastAsia"/>
          <w:szCs w:val="24"/>
        </w:rPr>
        <w:t>专项资金的资助对象原则上是在坪山区实际从事经营活动的单位，及对坪山区经济发展作出突出贡献的个人。</w:t>
      </w:r>
    </w:p>
    <w:p>
      <w:pPr>
        <w:widowControl/>
        <w:adjustRightInd w:val="0"/>
        <w:snapToGrid w:val="0"/>
        <w:ind w:firstLine="480"/>
        <w:rPr>
          <w:szCs w:val="24"/>
        </w:rPr>
      </w:pPr>
      <w:r>
        <w:rPr>
          <w:rFonts w:hint="eastAsia"/>
          <w:szCs w:val="24"/>
        </w:rPr>
        <w:t>第十条 【资助条件】</w:t>
      </w:r>
    </w:p>
    <w:p>
      <w:pPr>
        <w:widowControl/>
        <w:adjustRightInd w:val="0"/>
        <w:snapToGrid w:val="0"/>
        <w:ind w:firstLine="480"/>
        <w:rPr>
          <w:szCs w:val="24"/>
        </w:rPr>
      </w:pPr>
      <w:r>
        <w:rPr>
          <w:rFonts w:hint="eastAsia"/>
          <w:szCs w:val="24"/>
        </w:rPr>
        <w:t>申请专项资金资助的单位或个人需满足以下基本条件：</w:t>
      </w:r>
    </w:p>
    <w:p>
      <w:pPr>
        <w:widowControl/>
        <w:adjustRightInd w:val="0"/>
        <w:snapToGrid w:val="0"/>
        <w:ind w:firstLine="480"/>
        <w:rPr>
          <w:szCs w:val="24"/>
        </w:rPr>
      </w:pPr>
      <w:r>
        <w:rPr>
          <w:rFonts w:hint="eastAsia"/>
          <w:szCs w:val="24"/>
        </w:rPr>
        <w:t>申请单位需满足的条件：</w:t>
      </w:r>
    </w:p>
    <w:p>
      <w:pPr>
        <w:widowControl/>
        <w:adjustRightInd w:val="0"/>
        <w:snapToGrid w:val="0"/>
        <w:ind w:firstLine="480"/>
        <w:rPr>
          <w:szCs w:val="24"/>
        </w:rPr>
      </w:pPr>
      <w:r>
        <w:rPr>
          <w:rFonts w:hint="eastAsia"/>
          <w:szCs w:val="24"/>
        </w:rPr>
        <w:t>（一）在坪山区实际从事经营活动，独立核算、自主经营、自负盈亏的独立法人，专项资金政策中另有规定的从其规定。</w:t>
      </w:r>
    </w:p>
    <w:p>
      <w:pPr>
        <w:widowControl/>
        <w:adjustRightInd w:val="0"/>
        <w:snapToGrid w:val="0"/>
        <w:ind w:firstLine="480"/>
        <w:rPr>
          <w:szCs w:val="24"/>
        </w:rPr>
      </w:pPr>
      <w:r>
        <w:rPr>
          <w:rFonts w:hint="eastAsia"/>
          <w:szCs w:val="24"/>
        </w:rPr>
        <w:t>（二）守法经营、诚实守信、有规范健全的财务会计制度。</w:t>
      </w:r>
    </w:p>
    <w:p>
      <w:pPr>
        <w:widowControl/>
        <w:adjustRightInd w:val="0"/>
        <w:snapToGrid w:val="0"/>
        <w:ind w:firstLine="480"/>
        <w:rPr>
          <w:szCs w:val="24"/>
        </w:rPr>
      </w:pPr>
      <w:r>
        <w:rPr>
          <w:rFonts w:hint="eastAsia"/>
          <w:szCs w:val="24"/>
        </w:rPr>
        <w:t>（三）履行统计数据和纳税申报义务。</w:t>
      </w:r>
    </w:p>
    <w:p>
      <w:pPr>
        <w:widowControl/>
        <w:adjustRightInd w:val="0"/>
        <w:snapToGrid w:val="0"/>
        <w:ind w:firstLine="480"/>
        <w:rPr>
          <w:szCs w:val="24"/>
        </w:rPr>
      </w:pPr>
      <w:r>
        <w:rPr>
          <w:rFonts w:hint="eastAsia"/>
          <w:szCs w:val="24"/>
        </w:rPr>
        <w:t>（四）区政府及经济发展主管部门所规定的其他条件。</w:t>
      </w:r>
    </w:p>
    <w:p>
      <w:pPr>
        <w:widowControl/>
        <w:adjustRightInd w:val="0"/>
        <w:snapToGrid w:val="0"/>
        <w:ind w:firstLine="480"/>
        <w:rPr>
          <w:szCs w:val="24"/>
        </w:rPr>
      </w:pPr>
      <w:r>
        <w:rPr>
          <w:rFonts w:hint="eastAsia"/>
          <w:szCs w:val="24"/>
        </w:rPr>
        <w:t>申请的个人需满足的条件：</w:t>
      </w:r>
    </w:p>
    <w:p>
      <w:pPr>
        <w:widowControl/>
        <w:adjustRightInd w:val="0"/>
        <w:snapToGrid w:val="0"/>
        <w:ind w:firstLine="480"/>
        <w:rPr>
          <w:szCs w:val="24"/>
        </w:rPr>
      </w:pPr>
      <w:r>
        <w:rPr>
          <w:rFonts w:hint="eastAsia"/>
          <w:szCs w:val="24"/>
        </w:rPr>
        <w:t>（一）遵纪守法，近三年无犯罪记录。</w:t>
      </w:r>
    </w:p>
    <w:p>
      <w:pPr>
        <w:widowControl/>
        <w:adjustRightInd w:val="0"/>
        <w:snapToGrid w:val="0"/>
        <w:ind w:firstLine="480"/>
        <w:rPr>
          <w:szCs w:val="24"/>
        </w:rPr>
      </w:pPr>
      <w:r>
        <w:rPr>
          <w:rFonts w:hint="eastAsia"/>
          <w:szCs w:val="24"/>
        </w:rPr>
        <w:t>（二）至申请时仍满足专项资金政策的要求。</w:t>
      </w:r>
    </w:p>
    <w:p>
      <w:pPr>
        <w:widowControl/>
        <w:adjustRightInd w:val="0"/>
        <w:snapToGrid w:val="0"/>
        <w:ind w:firstLine="480"/>
        <w:rPr>
          <w:szCs w:val="24"/>
        </w:rPr>
      </w:pPr>
      <w:r>
        <w:rPr>
          <w:rFonts w:hint="eastAsia"/>
          <w:szCs w:val="24"/>
        </w:rPr>
        <w:t>（三）区政府及经济发展主管部门所规定的其他条件。</w:t>
      </w:r>
    </w:p>
    <w:p>
      <w:pPr>
        <w:widowControl/>
        <w:adjustRightInd w:val="0"/>
        <w:snapToGrid w:val="0"/>
        <w:ind w:firstLine="480"/>
        <w:rPr>
          <w:szCs w:val="24"/>
        </w:rPr>
      </w:pPr>
      <w:r>
        <w:rPr>
          <w:rFonts w:hint="eastAsia"/>
          <w:szCs w:val="24"/>
        </w:rPr>
        <w:t>第十一条 【不予资助情形】</w:t>
      </w:r>
    </w:p>
    <w:p>
      <w:pPr>
        <w:widowControl/>
        <w:adjustRightInd w:val="0"/>
        <w:snapToGrid w:val="0"/>
        <w:ind w:firstLine="480"/>
        <w:rPr>
          <w:szCs w:val="24"/>
        </w:rPr>
      </w:pPr>
      <w:r>
        <w:rPr>
          <w:rFonts w:hint="eastAsia"/>
          <w:szCs w:val="24"/>
        </w:rPr>
        <w:t>有下列情况之一的单位或个人，专项资金不予资助：</w:t>
      </w:r>
    </w:p>
    <w:p>
      <w:pPr>
        <w:widowControl/>
        <w:adjustRightInd w:val="0"/>
        <w:snapToGrid w:val="0"/>
        <w:ind w:firstLine="480"/>
        <w:rPr>
          <w:szCs w:val="24"/>
        </w:rPr>
      </w:pPr>
      <w:r>
        <w:rPr>
          <w:rFonts w:hint="eastAsia"/>
          <w:szCs w:val="24"/>
        </w:rPr>
        <w:t>（一）近三年因违法犯罪行为受到过刑事处罚的。</w:t>
      </w:r>
    </w:p>
    <w:p>
      <w:pPr>
        <w:widowControl/>
        <w:adjustRightInd w:val="0"/>
        <w:snapToGrid w:val="0"/>
        <w:ind w:firstLine="480"/>
        <w:rPr>
          <w:szCs w:val="24"/>
        </w:rPr>
      </w:pPr>
      <w:r>
        <w:rPr>
          <w:rFonts w:hint="eastAsia"/>
          <w:szCs w:val="24"/>
        </w:rPr>
        <w:t>（二）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widowControl/>
        <w:adjustRightInd w:val="0"/>
        <w:snapToGrid w:val="0"/>
        <w:ind w:firstLine="480"/>
        <w:rPr>
          <w:szCs w:val="24"/>
        </w:rPr>
      </w:pPr>
      <w:r>
        <w:rPr>
          <w:rFonts w:hint="eastAsia"/>
          <w:szCs w:val="24"/>
        </w:rPr>
        <w:t>（三）被司法机关认定存在行贿行为，且被列入坪山区不良经营主体名单并在影响期内的。</w:t>
      </w:r>
    </w:p>
    <w:p>
      <w:pPr>
        <w:widowControl/>
        <w:adjustRightInd w:val="0"/>
        <w:snapToGrid w:val="0"/>
        <w:ind w:firstLine="480"/>
        <w:rPr>
          <w:szCs w:val="24"/>
        </w:rPr>
      </w:pPr>
      <w:r>
        <w:rPr>
          <w:rFonts w:hint="eastAsia"/>
          <w:szCs w:val="24"/>
        </w:rPr>
        <w:t>（四）在申报专项资金过程中弄虚作假，虚报、谎报企业信息，或拒绝配合专项资金绩效评价和监督检查的。</w:t>
      </w:r>
    </w:p>
    <w:p>
      <w:pPr>
        <w:widowControl/>
        <w:adjustRightInd w:val="0"/>
        <w:snapToGrid w:val="0"/>
        <w:ind w:firstLine="480"/>
        <w:rPr>
          <w:szCs w:val="24"/>
        </w:rPr>
      </w:pPr>
      <w:r>
        <w:rPr>
          <w:rFonts w:hint="eastAsia"/>
          <w:szCs w:val="24"/>
        </w:rPr>
        <w:t>（五）同一事项已获得区级财政资金资助的。</w:t>
      </w:r>
    </w:p>
    <w:p>
      <w:pPr>
        <w:widowControl/>
        <w:adjustRightInd w:val="0"/>
        <w:snapToGrid w:val="0"/>
        <w:ind w:firstLine="480"/>
        <w:rPr>
          <w:szCs w:val="24"/>
        </w:rPr>
      </w:pPr>
      <w:r>
        <w:rPr>
          <w:rFonts w:hint="eastAsia"/>
          <w:szCs w:val="24"/>
        </w:rPr>
        <w:t>（六）被列入全国范围内实施的严重失信主体名单。</w:t>
      </w:r>
    </w:p>
    <w:p>
      <w:pPr>
        <w:widowControl/>
        <w:adjustRightInd w:val="0"/>
        <w:snapToGrid w:val="0"/>
        <w:ind w:firstLine="480"/>
        <w:rPr>
          <w:szCs w:val="24"/>
        </w:rPr>
      </w:pPr>
      <w:r>
        <w:rPr>
          <w:rFonts w:hint="eastAsia"/>
          <w:szCs w:val="24"/>
        </w:rPr>
        <w:t>（七）单个企业年度资助总额低于1万元的，专项资金政策中另有规定的除外。</w:t>
      </w:r>
    </w:p>
    <w:p>
      <w:pPr>
        <w:widowControl/>
        <w:adjustRightInd w:val="0"/>
        <w:snapToGrid w:val="0"/>
        <w:ind w:firstLine="480"/>
        <w:rPr>
          <w:szCs w:val="24"/>
        </w:rPr>
      </w:pPr>
      <w:r>
        <w:rPr>
          <w:rFonts w:hint="eastAsia"/>
          <w:szCs w:val="24"/>
        </w:rPr>
        <w:t>（八）法律、法规规定的其他情形。</w:t>
      </w:r>
    </w:p>
    <w:p>
      <w:pPr>
        <w:widowControl/>
        <w:adjustRightInd w:val="0"/>
        <w:snapToGrid w:val="0"/>
        <w:ind w:firstLine="480"/>
        <w:rPr>
          <w:szCs w:val="24"/>
        </w:rPr>
      </w:pPr>
    </w:p>
    <w:p>
      <w:pPr>
        <w:widowControl/>
        <w:adjustRightInd w:val="0"/>
        <w:snapToGrid w:val="0"/>
        <w:ind w:firstLine="0" w:firstLineChars="0"/>
        <w:jc w:val="center"/>
        <w:rPr>
          <w:szCs w:val="24"/>
        </w:rPr>
      </w:pPr>
      <w:r>
        <w:rPr>
          <w:rFonts w:hint="eastAsia"/>
          <w:szCs w:val="24"/>
        </w:rPr>
        <w:t>第四章  受理与审核</w:t>
      </w:r>
    </w:p>
    <w:p>
      <w:pPr>
        <w:widowControl/>
        <w:adjustRightInd w:val="0"/>
        <w:snapToGrid w:val="0"/>
        <w:ind w:firstLine="480"/>
        <w:rPr>
          <w:szCs w:val="24"/>
        </w:rPr>
      </w:pPr>
    </w:p>
    <w:p>
      <w:pPr>
        <w:widowControl/>
        <w:adjustRightInd w:val="0"/>
        <w:snapToGrid w:val="0"/>
        <w:ind w:firstLine="480"/>
        <w:rPr>
          <w:szCs w:val="24"/>
        </w:rPr>
      </w:pPr>
      <w:r>
        <w:rPr>
          <w:rFonts w:hint="eastAsia"/>
          <w:szCs w:val="24"/>
        </w:rPr>
        <w:t>第十二条 【项目受理】</w:t>
      </w:r>
    </w:p>
    <w:p>
      <w:pPr>
        <w:widowControl/>
        <w:adjustRightInd w:val="0"/>
        <w:snapToGrid w:val="0"/>
        <w:ind w:firstLine="480"/>
        <w:rPr>
          <w:szCs w:val="24"/>
        </w:rPr>
      </w:pPr>
      <w:r>
        <w:rPr>
          <w:rFonts w:hint="eastAsia"/>
          <w:szCs w:val="24"/>
        </w:rPr>
        <w:t>区工业和信息化局是申请项目的受理部门，负责线上受理和纸质资料受理。不符合受理条件的，不予受理。资料不全的，应一次性告知申请对象需补齐的资料。采取“分期核准、分期批复”的方式对申报项目进行处理，本年度受理和审核上一年度的专项资金项目。</w:t>
      </w:r>
    </w:p>
    <w:p>
      <w:pPr>
        <w:widowControl/>
        <w:adjustRightInd w:val="0"/>
        <w:snapToGrid w:val="0"/>
        <w:ind w:firstLine="480"/>
        <w:rPr>
          <w:szCs w:val="24"/>
        </w:rPr>
      </w:pPr>
      <w:r>
        <w:rPr>
          <w:rFonts w:hint="eastAsia"/>
          <w:szCs w:val="24"/>
        </w:rPr>
        <w:t>第十三条 【审核流程】</w:t>
      </w:r>
    </w:p>
    <w:p>
      <w:pPr>
        <w:widowControl/>
        <w:adjustRightInd w:val="0"/>
        <w:snapToGrid w:val="0"/>
        <w:ind w:firstLine="480"/>
        <w:rPr>
          <w:szCs w:val="24"/>
        </w:rPr>
      </w:pPr>
      <w:r>
        <w:rPr>
          <w:rFonts w:hint="eastAsia"/>
          <w:szCs w:val="24"/>
        </w:rPr>
        <w:t>经济发展专项资金按以下流程审核，并探索试行“免申即享”。属于“免申即享”事项，企业无需提供申请材料，只需按流程确认资金申领意愿即可。</w:t>
      </w:r>
    </w:p>
    <w:p>
      <w:pPr>
        <w:widowControl/>
        <w:adjustRightInd w:val="0"/>
        <w:snapToGrid w:val="0"/>
        <w:ind w:firstLine="480"/>
        <w:rPr>
          <w:szCs w:val="24"/>
        </w:rPr>
      </w:pPr>
      <w:r>
        <w:rPr>
          <w:rFonts w:hint="eastAsia"/>
          <w:szCs w:val="24"/>
        </w:rPr>
        <w:t>（一）形式审查。区工业和信息化局委托第三方专业机构对线上受理的项目进行形式审查。</w:t>
      </w:r>
    </w:p>
    <w:p>
      <w:pPr>
        <w:widowControl/>
        <w:adjustRightInd w:val="0"/>
        <w:snapToGrid w:val="0"/>
        <w:ind w:firstLine="480"/>
        <w:rPr>
          <w:szCs w:val="24"/>
        </w:rPr>
      </w:pPr>
      <w:r>
        <w:rPr>
          <w:rFonts w:hint="eastAsia"/>
          <w:szCs w:val="24"/>
        </w:rPr>
        <w:t>（二）资格初审。区工业和信息化局会同区有关部门根据各自职责，对所有申报项目提交的纸质材料进行资格初审。</w:t>
      </w:r>
    </w:p>
    <w:p>
      <w:pPr>
        <w:widowControl/>
        <w:adjustRightInd w:val="0"/>
        <w:snapToGrid w:val="0"/>
        <w:ind w:firstLine="480"/>
        <w:rPr>
          <w:szCs w:val="24"/>
        </w:rPr>
      </w:pPr>
      <w:r>
        <w:rPr>
          <w:rFonts w:hint="eastAsia"/>
          <w:szCs w:val="24"/>
        </w:rPr>
        <w:t>（三）专项审核。区工业和信息化局委托第三方专业机构对通过资格初审的项目申请材料真实性、完整性、有效性和合法性等方面进行专项审核和实地考察。</w:t>
      </w:r>
    </w:p>
    <w:p>
      <w:pPr>
        <w:widowControl/>
        <w:adjustRightInd w:val="0"/>
        <w:snapToGrid w:val="0"/>
        <w:ind w:firstLine="480"/>
        <w:rPr>
          <w:szCs w:val="24"/>
        </w:rPr>
      </w:pPr>
      <w:r>
        <w:rPr>
          <w:rFonts w:hint="eastAsia"/>
          <w:szCs w:val="24"/>
        </w:rPr>
        <w:t xml:space="preserve">（四）项目复审。区工业和信息化局对项目进行复审，确定专项资金拟资助计划，并经党组会审定后，形成部门审核意见。 </w:t>
      </w:r>
    </w:p>
    <w:p>
      <w:pPr>
        <w:widowControl/>
        <w:adjustRightInd w:val="0"/>
        <w:snapToGrid w:val="0"/>
        <w:ind w:firstLine="480"/>
        <w:rPr>
          <w:szCs w:val="24"/>
        </w:rPr>
      </w:pPr>
      <w:r>
        <w:rPr>
          <w:rFonts w:hint="eastAsia"/>
          <w:szCs w:val="24"/>
        </w:rPr>
        <w:t>（五）结果公示。拟资助信息在区政府网站公示，公示期不少于5个工作日。对资助计划提出异议的，由区工业和信息化局对异议内容进行调查核实，并将有关结果反馈公示。</w:t>
      </w:r>
    </w:p>
    <w:p>
      <w:pPr>
        <w:widowControl/>
        <w:adjustRightInd w:val="0"/>
        <w:snapToGrid w:val="0"/>
        <w:ind w:firstLine="480"/>
        <w:rPr>
          <w:szCs w:val="24"/>
        </w:rPr>
      </w:pPr>
      <w:r>
        <w:rPr>
          <w:rFonts w:hint="eastAsia"/>
          <w:szCs w:val="24"/>
        </w:rPr>
        <w:t>（六）下达资助计划。区工业和信息化局下达专项资金资助计划。</w:t>
      </w:r>
    </w:p>
    <w:p>
      <w:pPr>
        <w:widowControl/>
        <w:adjustRightInd w:val="0"/>
        <w:snapToGrid w:val="0"/>
        <w:ind w:firstLine="480"/>
        <w:rPr>
          <w:szCs w:val="24"/>
        </w:rPr>
      </w:pPr>
      <w:r>
        <w:rPr>
          <w:rFonts w:hint="eastAsia"/>
          <w:szCs w:val="24"/>
        </w:rPr>
        <w:t>（七）合同签订。区工业和信息化局与资助对象签订专项资金资助合同。</w:t>
      </w:r>
    </w:p>
    <w:p>
      <w:pPr>
        <w:widowControl/>
        <w:adjustRightInd w:val="0"/>
        <w:snapToGrid w:val="0"/>
        <w:ind w:firstLine="480"/>
        <w:rPr>
          <w:szCs w:val="24"/>
        </w:rPr>
      </w:pPr>
      <w:r>
        <w:rPr>
          <w:rFonts w:hint="eastAsia"/>
          <w:szCs w:val="24"/>
        </w:rPr>
        <w:t>（八）资金拨付。区工业和信息化局根据资助计划办理专项资金拨付手续。</w:t>
      </w:r>
    </w:p>
    <w:p>
      <w:pPr>
        <w:widowControl/>
        <w:adjustRightInd w:val="0"/>
        <w:snapToGrid w:val="0"/>
        <w:ind w:firstLine="0" w:firstLineChars="0"/>
        <w:jc w:val="center"/>
        <w:rPr>
          <w:szCs w:val="24"/>
        </w:rPr>
      </w:pPr>
    </w:p>
    <w:p>
      <w:pPr>
        <w:widowControl/>
        <w:adjustRightInd w:val="0"/>
        <w:snapToGrid w:val="0"/>
        <w:ind w:firstLine="0" w:firstLineChars="0"/>
        <w:jc w:val="center"/>
        <w:rPr>
          <w:szCs w:val="24"/>
        </w:rPr>
      </w:pPr>
      <w:r>
        <w:rPr>
          <w:rFonts w:hint="eastAsia"/>
          <w:szCs w:val="24"/>
        </w:rPr>
        <w:t>第五章  管理与监督</w:t>
      </w:r>
    </w:p>
    <w:p>
      <w:pPr>
        <w:widowControl/>
        <w:adjustRightInd w:val="0"/>
        <w:snapToGrid w:val="0"/>
        <w:ind w:firstLine="480"/>
        <w:rPr>
          <w:szCs w:val="24"/>
        </w:rPr>
      </w:pPr>
    </w:p>
    <w:p>
      <w:pPr>
        <w:widowControl/>
        <w:adjustRightInd w:val="0"/>
        <w:snapToGrid w:val="0"/>
        <w:ind w:firstLine="480"/>
        <w:rPr>
          <w:szCs w:val="24"/>
        </w:rPr>
      </w:pPr>
      <w:r>
        <w:rPr>
          <w:rFonts w:hint="eastAsia"/>
          <w:szCs w:val="24"/>
        </w:rPr>
        <w:t>第十四条 【资金追回】</w:t>
      </w:r>
    </w:p>
    <w:p>
      <w:pPr>
        <w:widowControl/>
        <w:adjustRightInd w:val="0"/>
        <w:snapToGrid w:val="0"/>
        <w:ind w:firstLine="480"/>
        <w:rPr>
          <w:szCs w:val="24"/>
        </w:rPr>
      </w:pPr>
      <w:r>
        <w:rPr>
          <w:rFonts w:hint="eastAsia"/>
          <w:szCs w:val="24"/>
        </w:rPr>
        <w:t>出现下列情形之一的，专项资金由区工业和信息化局予以追回：</w:t>
      </w:r>
    </w:p>
    <w:p>
      <w:pPr>
        <w:widowControl/>
        <w:adjustRightInd w:val="0"/>
        <w:snapToGrid w:val="0"/>
        <w:ind w:firstLine="480"/>
        <w:rPr>
          <w:szCs w:val="24"/>
        </w:rPr>
      </w:pPr>
      <w:r>
        <w:rPr>
          <w:rFonts w:hint="eastAsia"/>
          <w:szCs w:val="24"/>
        </w:rPr>
        <w:t>（一）已发放资金经事后核实，存在第十一条规定情形的。</w:t>
      </w:r>
    </w:p>
    <w:p>
      <w:pPr>
        <w:widowControl/>
        <w:adjustRightInd w:val="0"/>
        <w:snapToGrid w:val="0"/>
        <w:ind w:firstLine="480"/>
        <w:rPr>
          <w:szCs w:val="24"/>
        </w:rPr>
      </w:pPr>
      <w:r>
        <w:rPr>
          <w:rFonts w:hint="eastAsia"/>
          <w:szCs w:val="24"/>
        </w:rPr>
        <w:t>（二）年度获得资助资金额度50万元（含）以上的企业，自签订资金资助合同之日起五年内将注册地迁出坪山区的。</w:t>
      </w:r>
    </w:p>
    <w:p>
      <w:pPr>
        <w:widowControl/>
        <w:adjustRightInd w:val="0"/>
        <w:snapToGrid w:val="0"/>
        <w:ind w:firstLine="480"/>
        <w:rPr>
          <w:szCs w:val="24"/>
        </w:rPr>
      </w:pPr>
      <w:r>
        <w:rPr>
          <w:rFonts w:hint="eastAsia"/>
          <w:szCs w:val="24"/>
        </w:rPr>
        <w:t>第十五条 【资助上限】</w:t>
      </w:r>
    </w:p>
    <w:p>
      <w:pPr>
        <w:widowControl/>
        <w:adjustRightInd w:val="0"/>
        <w:snapToGrid w:val="0"/>
        <w:ind w:firstLine="480"/>
        <w:rPr>
          <w:szCs w:val="24"/>
        </w:rPr>
      </w:pPr>
      <w:r>
        <w:rPr>
          <w:rFonts w:hint="eastAsia"/>
          <w:szCs w:val="24"/>
        </w:rPr>
        <w:t>专项资金对单个企业的资助和奖励总额原则上不超过该企业上年度在坪山区财力贡献的60%，专项资金政策中另有规定的除外。</w:t>
      </w:r>
    </w:p>
    <w:p>
      <w:pPr>
        <w:widowControl/>
        <w:adjustRightInd w:val="0"/>
        <w:snapToGrid w:val="0"/>
        <w:ind w:firstLine="480"/>
        <w:rPr>
          <w:szCs w:val="24"/>
        </w:rPr>
      </w:pPr>
      <w:r>
        <w:rPr>
          <w:rFonts w:hint="eastAsia"/>
          <w:szCs w:val="24"/>
        </w:rPr>
        <w:t>第十六条 【获资助单位职责】</w:t>
      </w:r>
    </w:p>
    <w:p>
      <w:pPr>
        <w:widowControl/>
        <w:adjustRightInd w:val="0"/>
        <w:snapToGrid w:val="0"/>
        <w:ind w:firstLine="480"/>
        <w:rPr>
          <w:szCs w:val="24"/>
        </w:rPr>
      </w:pPr>
      <w:r>
        <w:rPr>
          <w:rFonts w:hint="eastAsia"/>
          <w:szCs w:val="24"/>
        </w:rPr>
        <w:t>获资助单位应当自觉接受专项资金主管部门及其授权委托机构、监督机构等部门的监督检查，履行配合开展实地考察、退回资金等相关义务，按照相关部门要求及时报送项目申报及批复文件、项目绩效等相关资料以及企业发展相关数据。</w:t>
      </w:r>
    </w:p>
    <w:p>
      <w:pPr>
        <w:widowControl/>
        <w:adjustRightInd w:val="0"/>
        <w:snapToGrid w:val="0"/>
        <w:ind w:firstLine="480"/>
        <w:rPr>
          <w:szCs w:val="24"/>
        </w:rPr>
      </w:pPr>
      <w:r>
        <w:rPr>
          <w:rFonts w:hint="eastAsia"/>
          <w:szCs w:val="24"/>
        </w:rPr>
        <w:t>第十七条 【违规违纪违法处理】</w:t>
      </w:r>
    </w:p>
    <w:p>
      <w:pPr>
        <w:widowControl/>
        <w:adjustRightInd w:val="0"/>
        <w:snapToGrid w:val="0"/>
        <w:ind w:firstLine="480"/>
        <w:rPr>
          <w:szCs w:val="24"/>
        </w:rPr>
      </w:pPr>
      <w:r>
        <w:rPr>
          <w:rFonts w:hint="eastAsia"/>
          <w:szCs w:val="24"/>
        </w:rPr>
        <w:t>与专项资金管理相关的工作人员违反本办法，不认真履行职责，与受资助单位人员串通、弄虚作假的，由相关部门对责任单位和人员进行责任追究；涉嫌违纪或职务违法犯罪的，移送纪检监察机关处理；涉嫌其他违法犯罪行为的，依法移送其他有关机关处理。</w:t>
      </w:r>
    </w:p>
    <w:p>
      <w:pPr>
        <w:widowControl/>
        <w:adjustRightInd w:val="0"/>
        <w:snapToGrid w:val="0"/>
        <w:ind w:firstLine="480"/>
        <w:rPr>
          <w:szCs w:val="24"/>
        </w:rPr>
      </w:pPr>
      <w:r>
        <w:rPr>
          <w:rFonts w:hint="eastAsia"/>
          <w:szCs w:val="24"/>
        </w:rPr>
        <w:t>第十八条 【社会监督】</w:t>
      </w:r>
    </w:p>
    <w:p>
      <w:pPr>
        <w:widowControl/>
        <w:adjustRightInd w:val="0"/>
        <w:snapToGrid w:val="0"/>
        <w:ind w:firstLine="480"/>
        <w:rPr>
          <w:szCs w:val="24"/>
        </w:rPr>
      </w:pPr>
      <w:r>
        <w:rPr>
          <w:rFonts w:hint="eastAsia"/>
          <w:szCs w:val="24"/>
        </w:rPr>
        <w:t>社会公众和有关部门有权对专项资金使用的全过程进行监督，区工业和信息化局依职责处理相关投诉。</w:t>
      </w:r>
    </w:p>
    <w:p>
      <w:pPr>
        <w:widowControl/>
        <w:adjustRightInd w:val="0"/>
        <w:snapToGrid w:val="0"/>
        <w:ind w:firstLine="480"/>
        <w:rPr>
          <w:szCs w:val="24"/>
        </w:rPr>
      </w:pPr>
      <w:r>
        <w:rPr>
          <w:rFonts w:hint="eastAsia"/>
          <w:szCs w:val="24"/>
        </w:rPr>
        <w:t>第十九条 【绩效自评】</w:t>
      </w:r>
    </w:p>
    <w:p>
      <w:pPr>
        <w:widowControl/>
        <w:adjustRightInd w:val="0"/>
        <w:snapToGrid w:val="0"/>
        <w:ind w:firstLine="480"/>
        <w:rPr>
          <w:szCs w:val="24"/>
        </w:rPr>
      </w:pPr>
      <w:r>
        <w:rPr>
          <w:rFonts w:hint="eastAsia"/>
          <w:szCs w:val="24"/>
        </w:rPr>
        <w:t>专项资金主管部门可委托专业机构开展绩效自评，运用科学合理的评价方法和评价标准开展，形成的评价结果向区财政局报告。</w:t>
      </w:r>
    </w:p>
    <w:p>
      <w:pPr>
        <w:widowControl/>
        <w:adjustRightInd w:val="0"/>
        <w:snapToGrid w:val="0"/>
        <w:ind w:firstLine="480"/>
        <w:rPr>
          <w:szCs w:val="24"/>
        </w:rPr>
      </w:pPr>
      <w:r>
        <w:rPr>
          <w:rFonts w:hint="eastAsia"/>
          <w:szCs w:val="24"/>
        </w:rPr>
        <w:t>（一）评价目的。通过对专项资金系列政策制定的科学性和执行的合规性进行全面评价，为调整优化政策、改进资金管理、保障资金安全和安排年度资金投入提供重要依据。</w:t>
      </w:r>
    </w:p>
    <w:p>
      <w:pPr>
        <w:widowControl/>
        <w:adjustRightInd w:val="0"/>
        <w:snapToGrid w:val="0"/>
        <w:ind w:firstLine="480"/>
        <w:rPr>
          <w:szCs w:val="24"/>
        </w:rPr>
      </w:pPr>
      <w:r>
        <w:rPr>
          <w:rFonts w:hint="eastAsia"/>
          <w:szCs w:val="24"/>
        </w:rPr>
        <w:t>（二）评价内容。对政策制定的科学性进行评价，主要评价政策的科学性、精准性、效益性，包括政策覆盖面、与主导产业匹配度、新兴产业集聚度、产业链补链强链、创新能力与品牌质量提升、产业生态优化、企业梯队构建、投入与产出效益等内容；对政策执行的合规性进行评价，包括监管制度的完善性、审核流程的规范性、资金发放的准确性、资金追回程序合法性、工作人员的廉政性等内容。</w:t>
      </w:r>
    </w:p>
    <w:p>
      <w:pPr>
        <w:widowControl/>
        <w:adjustRightInd w:val="0"/>
        <w:snapToGrid w:val="0"/>
        <w:ind w:firstLine="480"/>
        <w:rPr>
          <w:szCs w:val="24"/>
        </w:rPr>
      </w:pPr>
      <w:r>
        <w:rPr>
          <w:rFonts w:hint="eastAsia"/>
          <w:szCs w:val="24"/>
        </w:rPr>
        <w:t>（三）评价周期。绩效自评分为年度评价和三年阶段性评价；合规性评价每年组织一次，科学性评价每三年组织一次。</w:t>
      </w:r>
    </w:p>
    <w:p>
      <w:pPr>
        <w:widowControl/>
        <w:adjustRightInd w:val="0"/>
        <w:snapToGrid w:val="0"/>
        <w:ind w:firstLine="0" w:firstLineChars="0"/>
        <w:jc w:val="center"/>
        <w:rPr>
          <w:szCs w:val="24"/>
        </w:rPr>
      </w:pPr>
    </w:p>
    <w:p>
      <w:pPr>
        <w:widowControl/>
        <w:adjustRightInd w:val="0"/>
        <w:snapToGrid w:val="0"/>
        <w:ind w:firstLine="0" w:firstLineChars="0"/>
        <w:jc w:val="center"/>
        <w:rPr>
          <w:szCs w:val="24"/>
        </w:rPr>
      </w:pPr>
      <w:r>
        <w:rPr>
          <w:rFonts w:hint="eastAsia"/>
          <w:szCs w:val="24"/>
        </w:rPr>
        <w:t>第六章  附  则</w:t>
      </w:r>
    </w:p>
    <w:p>
      <w:pPr>
        <w:widowControl/>
        <w:adjustRightInd w:val="0"/>
        <w:snapToGrid w:val="0"/>
        <w:ind w:firstLine="480"/>
        <w:rPr>
          <w:szCs w:val="24"/>
        </w:rPr>
      </w:pPr>
    </w:p>
    <w:p>
      <w:pPr>
        <w:widowControl/>
        <w:adjustRightInd w:val="0"/>
        <w:snapToGrid w:val="0"/>
        <w:ind w:firstLine="480"/>
        <w:rPr>
          <w:szCs w:val="24"/>
        </w:rPr>
      </w:pPr>
      <w:r>
        <w:rPr>
          <w:rFonts w:hint="eastAsia"/>
          <w:szCs w:val="24"/>
        </w:rPr>
        <w:t>第二十条 【资金控制】</w:t>
      </w:r>
    </w:p>
    <w:p>
      <w:pPr>
        <w:widowControl/>
        <w:adjustRightInd w:val="0"/>
        <w:snapToGrid w:val="0"/>
        <w:ind w:firstLine="480"/>
        <w:rPr>
          <w:szCs w:val="24"/>
        </w:rPr>
      </w:pPr>
      <w:r>
        <w:rPr>
          <w:rFonts w:hint="eastAsia"/>
          <w:szCs w:val="24"/>
        </w:rPr>
        <w:t>（一）专项资金实行总额控制，年度拟资助金额超出年度财政预算安排的，按资助项目占比进行等比例核减。</w:t>
      </w:r>
    </w:p>
    <w:p>
      <w:pPr>
        <w:widowControl/>
        <w:adjustRightInd w:val="0"/>
        <w:snapToGrid w:val="0"/>
        <w:ind w:firstLine="480"/>
        <w:rPr>
          <w:szCs w:val="24"/>
        </w:rPr>
      </w:pPr>
      <w:r>
        <w:rPr>
          <w:rFonts w:hint="eastAsia"/>
          <w:szCs w:val="24"/>
        </w:rPr>
        <w:t>（二）同一主体的同一事项按照“就高不重复”原则予以资助。</w:t>
      </w:r>
    </w:p>
    <w:p>
      <w:pPr>
        <w:widowControl/>
        <w:adjustRightInd w:val="0"/>
        <w:snapToGrid w:val="0"/>
        <w:ind w:firstLine="480"/>
        <w:rPr>
          <w:szCs w:val="24"/>
        </w:rPr>
      </w:pPr>
      <w:r>
        <w:rPr>
          <w:rFonts w:hint="eastAsia"/>
          <w:szCs w:val="24"/>
        </w:rPr>
        <w:t>第二十一条 【政策衔接】</w:t>
      </w:r>
    </w:p>
    <w:p>
      <w:pPr>
        <w:widowControl/>
        <w:adjustRightInd w:val="0"/>
        <w:snapToGrid w:val="0"/>
        <w:ind w:firstLine="480"/>
        <w:rPr>
          <w:szCs w:val="24"/>
        </w:rPr>
      </w:pPr>
      <w:r>
        <w:rPr>
          <w:rFonts w:hint="eastAsia"/>
          <w:szCs w:val="24"/>
        </w:rPr>
        <w:t>本办法施行前已申报专项资金的单位或个人，按照《深圳市坪山区经济发展专项资金管理办法》（深坪府办规〔2021〕2号）等文件执行。本办法施行后申报专项资金的单位或个人，按照本办法相关规定执行。</w:t>
      </w:r>
    </w:p>
    <w:p>
      <w:pPr>
        <w:widowControl/>
        <w:adjustRightInd w:val="0"/>
        <w:snapToGrid w:val="0"/>
        <w:ind w:firstLine="480"/>
        <w:rPr>
          <w:szCs w:val="24"/>
        </w:rPr>
      </w:pPr>
      <w:r>
        <w:rPr>
          <w:rFonts w:hint="eastAsia"/>
          <w:szCs w:val="24"/>
        </w:rPr>
        <w:t>第二十二条 【解释部门】</w:t>
      </w:r>
    </w:p>
    <w:p>
      <w:pPr>
        <w:widowControl/>
        <w:adjustRightInd w:val="0"/>
        <w:snapToGrid w:val="0"/>
        <w:ind w:firstLine="480"/>
        <w:rPr>
          <w:szCs w:val="24"/>
        </w:rPr>
      </w:pPr>
      <w:r>
        <w:rPr>
          <w:rFonts w:hint="eastAsia"/>
          <w:szCs w:val="24"/>
        </w:rPr>
        <w:t>本办法由坪山区人民政府授权区工业和信息化局解释。</w:t>
      </w:r>
    </w:p>
    <w:p>
      <w:pPr>
        <w:widowControl/>
        <w:adjustRightInd w:val="0"/>
        <w:snapToGrid w:val="0"/>
        <w:ind w:firstLine="480"/>
        <w:rPr>
          <w:szCs w:val="24"/>
        </w:rPr>
      </w:pPr>
      <w:r>
        <w:rPr>
          <w:rFonts w:hint="eastAsia"/>
          <w:szCs w:val="24"/>
        </w:rPr>
        <w:t>第二十三条 【政策时效】</w:t>
      </w:r>
    </w:p>
    <w:p>
      <w:pPr>
        <w:widowControl/>
        <w:adjustRightInd w:val="0"/>
        <w:snapToGrid w:val="0"/>
        <w:ind w:firstLine="480"/>
        <w:rPr>
          <w:szCs w:val="24"/>
        </w:rPr>
      </w:pPr>
      <w:r>
        <w:rPr>
          <w:rFonts w:hint="eastAsia"/>
          <w:szCs w:val="24"/>
        </w:rPr>
        <w:t>本办法自2023年7月3日起施行，有效期至2025年12月31日。</w:t>
      </w:r>
    </w:p>
    <w:p>
      <w:pPr>
        <w:widowControl/>
        <w:adjustRightInd w:val="0"/>
        <w:snapToGrid w:val="0"/>
        <w:ind w:firstLine="420"/>
        <w:rPr>
          <w:sz w:val="21"/>
        </w:rPr>
      </w:pPr>
    </w:p>
    <w:bookmarkEnd w:id="270"/>
    <w:bookmarkEnd w:id="271"/>
    <w:bookmarkEnd w:id="272"/>
    <w:p>
      <w:pPr>
        <w:ind w:firstLine="640"/>
        <w:rPr>
          <w:rFonts w:ascii="Cambria" w:hAnsi="Cambria"/>
          <w:sz w:val="32"/>
          <w:szCs w:val="32"/>
        </w:rPr>
      </w:pPr>
      <w:r>
        <w:rPr>
          <w:rFonts w:hint="eastAsia" w:ascii="Cambria" w:hAnsi="Cambria"/>
          <w:sz w:val="32"/>
          <w:szCs w:val="32"/>
        </w:rPr>
        <w:br w:type="page"/>
      </w:r>
    </w:p>
    <w:bookmarkEnd w:id="264"/>
    <w:bookmarkEnd w:id="265"/>
    <w:bookmarkEnd w:id="266"/>
    <w:bookmarkEnd w:id="267"/>
    <w:bookmarkEnd w:id="268"/>
    <w:bookmarkEnd w:id="269"/>
    <w:p>
      <w:pPr>
        <w:pStyle w:val="28"/>
        <w:spacing w:before="312" w:line="360" w:lineRule="auto"/>
        <w:outlineLvl w:val="2"/>
      </w:pPr>
      <w:bookmarkStart w:id="273" w:name="_Toc138949361"/>
      <w:bookmarkStart w:id="274" w:name="_Toc130905498"/>
      <w:r>
        <w:rPr>
          <w:rFonts w:hint="eastAsia"/>
        </w:rPr>
        <w:t>（二）深圳市坪山区服务业高质量发展资金支持措施</w:t>
      </w:r>
      <w:bookmarkEnd w:id="273"/>
      <w:bookmarkEnd w:id="274"/>
    </w:p>
    <w:p>
      <w:pPr>
        <w:widowControl/>
        <w:adjustRightInd w:val="0"/>
        <w:snapToGrid w:val="0"/>
        <w:ind w:firstLine="0" w:firstLineChars="0"/>
        <w:rPr>
          <w:rFonts w:hAnsi="仿宋_GB2312" w:cs="仿宋_GB2312"/>
          <w:szCs w:val="32"/>
        </w:rPr>
      </w:pPr>
    </w:p>
    <w:p>
      <w:pPr>
        <w:ind w:firstLine="0" w:firstLineChars="0"/>
        <w:jc w:val="center"/>
        <w:rPr>
          <w:szCs w:val="24"/>
        </w:rPr>
      </w:pPr>
      <w:bookmarkStart w:id="275" w:name="_Toc130905499"/>
      <w:bookmarkStart w:id="276" w:name="_Toc120698477"/>
      <w:r>
        <w:rPr>
          <w:rFonts w:hint="eastAsia"/>
          <w:szCs w:val="24"/>
        </w:rPr>
        <w:t>第一章  总则</w:t>
      </w:r>
      <w:bookmarkEnd w:id="275"/>
      <w:bookmarkEnd w:id="276"/>
    </w:p>
    <w:p>
      <w:pPr>
        <w:ind w:firstLine="480"/>
        <w:rPr>
          <w:szCs w:val="24"/>
        </w:rPr>
      </w:pPr>
      <w:bookmarkStart w:id="277" w:name="_Toc54342346"/>
      <w:bookmarkStart w:id="278" w:name="_Toc56784480"/>
      <w:bookmarkStart w:id="279" w:name="_Toc120698478"/>
      <w:bookmarkStart w:id="280" w:name="_Hlk57830144"/>
      <w:bookmarkStart w:id="281" w:name="_Toc52338053"/>
    </w:p>
    <w:p>
      <w:pPr>
        <w:ind w:firstLine="480"/>
        <w:rPr>
          <w:szCs w:val="24"/>
        </w:rPr>
      </w:pPr>
      <w:r>
        <w:rPr>
          <w:rFonts w:hint="eastAsia"/>
          <w:szCs w:val="24"/>
        </w:rPr>
        <w:t>第一条 【宗旨】</w:t>
      </w:r>
    </w:p>
    <w:p>
      <w:pPr>
        <w:ind w:firstLine="480"/>
        <w:rPr>
          <w:szCs w:val="24"/>
        </w:rPr>
      </w:pPr>
      <w:r>
        <w:rPr>
          <w:rFonts w:hint="eastAsia"/>
          <w:szCs w:val="24"/>
        </w:rPr>
        <w:t>为促进坪山区服务业提质增效，加快构筑先进制造业和高端服务业双轮驱动发展格局，根据《关于促进综合保税区高水平开放高质量发展的若干意见》（国发〔2019〕3号）、《深圳市支持金融企业发展的若干措施》（深金监规〔2022〕2号）、《关于加快建设国际消费中心城市的若干措施》（深商务规〔2022〕2号）、《深圳市关于建设国际会展之都的若干措施》（深商务规〔2022〕3号）、《关于支持贸易型总部企业发展的实施意见》（深商务规〔2023〕1号）等文件精神，结合坪山区实际，制定本措施。</w:t>
      </w:r>
    </w:p>
    <w:p>
      <w:pPr>
        <w:ind w:firstLine="480"/>
        <w:rPr>
          <w:szCs w:val="24"/>
        </w:rPr>
      </w:pPr>
      <w:r>
        <w:rPr>
          <w:rFonts w:hint="eastAsia"/>
          <w:szCs w:val="24"/>
        </w:rPr>
        <w:t>第二条 【实施部门】</w:t>
      </w:r>
    </w:p>
    <w:p>
      <w:pPr>
        <w:ind w:firstLine="480"/>
        <w:rPr>
          <w:szCs w:val="24"/>
        </w:rPr>
      </w:pPr>
      <w:r>
        <w:rPr>
          <w:rFonts w:hint="eastAsia"/>
          <w:szCs w:val="24"/>
        </w:rPr>
        <w:t>区工业和信息化局是本措施的实施部门，按《深圳市坪山区经济发展专项资金管理办法》（深坪府办规〔2023〕1号）有关规定履行职责。</w:t>
      </w:r>
    </w:p>
    <w:p>
      <w:pPr>
        <w:ind w:firstLine="480"/>
        <w:rPr>
          <w:szCs w:val="24"/>
        </w:rPr>
      </w:pPr>
      <w:r>
        <w:rPr>
          <w:rFonts w:hint="eastAsia"/>
          <w:szCs w:val="24"/>
        </w:rPr>
        <w:t>第三条 【支持对象】</w:t>
      </w:r>
    </w:p>
    <w:p>
      <w:pPr>
        <w:ind w:firstLine="480"/>
        <w:rPr>
          <w:szCs w:val="24"/>
        </w:rPr>
      </w:pPr>
      <w:r>
        <w:rPr>
          <w:rFonts w:hint="eastAsia"/>
          <w:szCs w:val="24"/>
        </w:rPr>
        <w:t>申报主体原则上必须是在坪山区实际从事经营活动，且属于金融、商贸、营利性服务、会展服务、保税服务、服务业新业态等领域企业。本措施具体条款另有规定的除外。</w:t>
      </w:r>
    </w:p>
    <w:p>
      <w:pPr>
        <w:ind w:firstLine="480"/>
        <w:rPr>
          <w:szCs w:val="24"/>
        </w:rPr>
      </w:pPr>
    </w:p>
    <w:p>
      <w:pPr>
        <w:ind w:firstLine="0" w:firstLineChars="0"/>
        <w:jc w:val="center"/>
        <w:rPr>
          <w:szCs w:val="24"/>
        </w:rPr>
      </w:pPr>
      <w:r>
        <w:rPr>
          <w:rFonts w:hint="eastAsia"/>
          <w:szCs w:val="24"/>
        </w:rPr>
        <w:t>第二章  支持金融业发展</w:t>
      </w:r>
    </w:p>
    <w:p>
      <w:pPr>
        <w:ind w:firstLine="480"/>
        <w:rPr>
          <w:szCs w:val="24"/>
        </w:rPr>
      </w:pPr>
    </w:p>
    <w:p>
      <w:pPr>
        <w:ind w:firstLine="480"/>
        <w:rPr>
          <w:szCs w:val="24"/>
        </w:rPr>
      </w:pPr>
      <w:r>
        <w:rPr>
          <w:rFonts w:hint="eastAsia"/>
          <w:szCs w:val="24"/>
        </w:rPr>
        <w:t>第四条 【支持地方金融机构集聚发展】</w:t>
      </w:r>
    </w:p>
    <w:p>
      <w:pPr>
        <w:ind w:firstLine="480"/>
        <w:rPr>
          <w:szCs w:val="24"/>
        </w:rPr>
      </w:pPr>
      <w:r>
        <w:rPr>
          <w:rFonts w:hint="eastAsia"/>
          <w:szCs w:val="24"/>
        </w:rPr>
        <w:t>对新设立或新迁入的实缴资本1亿元以上的融资租赁、商业保理、融资担保、小额贷款等地方金融机构，按其实缴资本的1%，给予最高200万元一次性奖励。上述机构营业收入首次达到500万元以上，给予50万元一次性奖励。</w:t>
      </w:r>
    </w:p>
    <w:p>
      <w:pPr>
        <w:ind w:firstLine="480"/>
        <w:rPr>
          <w:szCs w:val="24"/>
        </w:rPr>
      </w:pPr>
      <w:r>
        <w:rPr>
          <w:rFonts w:hint="eastAsia"/>
          <w:szCs w:val="24"/>
        </w:rPr>
        <w:t>第五条 【支持新型金融机构集聚发展】</w:t>
      </w:r>
    </w:p>
    <w:p>
      <w:pPr>
        <w:ind w:firstLine="480"/>
        <w:rPr>
          <w:szCs w:val="24"/>
        </w:rPr>
      </w:pPr>
      <w:r>
        <w:rPr>
          <w:rFonts w:hint="eastAsia"/>
          <w:szCs w:val="24"/>
        </w:rPr>
        <w:t>对商业银行在坪山区新设立的科技支行，给予100万元一次性奖励。对市级认定的绿色金融专营机构，给予20万元一次性奖励。</w:t>
      </w:r>
    </w:p>
    <w:p>
      <w:pPr>
        <w:ind w:firstLine="480"/>
        <w:rPr>
          <w:szCs w:val="24"/>
        </w:rPr>
      </w:pPr>
    </w:p>
    <w:p>
      <w:pPr>
        <w:ind w:firstLine="0" w:firstLineChars="0"/>
        <w:jc w:val="center"/>
        <w:rPr>
          <w:szCs w:val="24"/>
        </w:rPr>
      </w:pPr>
      <w:r>
        <w:rPr>
          <w:rFonts w:hint="eastAsia"/>
          <w:szCs w:val="24"/>
        </w:rPr>
        <w:t>第三章  支持商贸业发展</w:t>
      </w:r>
    </w:p>
    <w:p>
      <w:pPr>
        <w:ind w:firstLine="480"/>
        <w:rPr>
          <w:szCs w:val="24"/>
        </w:rPr>
      </w:pPr>
    </w:p>
    <w:p>
      <w:pPr>
        <w:ind w:firstLine="480"/>
        <w:rPr>
          <w:szCs w:val="24"/>
        </w:rPr>
      </w:pPr>
      <w:r>
        <w:rPr>
          <w:rFonts w:hint="eastAsia"/>
          <w:szCs w:val="24"/>
        </w:rPr>
        <w:t>第六条 【支持商业集聚发展】</w:t>
      </w:r>
    </w:p>
    <w:p>
      <w:pPr>
        <w:ind w:firstLine="480"/>
        <w:rPr>
          <w:szCs w:val="24"/>
        </w:rPr>
      </w:pPr>
      <w:r>
        <w:rPr>
          <w:rFonts w:hint="eastAsia"/>
          <w:szCs w:val="24"/>
        </w:rPr>
        <w:t>（一）支持制造业企业设立销售公司</w:t>
      </w:r>
    </w:p>
    <w:p>
      <w:pPr>
        <w:ind w:firstLine="480"/>
        <w:rPr>
          <w:szCs w:val="24"/>
        </w:rPr>
      </w:pPr>
      <w:r>
        <w:rPr>
          <w:rFonts w:hint="eastAsia"/>
          <w:szCs w:val="24"/>
        </w:rPr>
        <w:t>对坪山区制造业企业上年度在区内新设立的销售公司，销售额超过1亿元的部分按0.5%，给予单个企业最高200万元一次性奖励。</w:t>
      </w:r>
    </w:p>
    <w:p>
      <w:pPr>
        <w:ind w:firstLine="480"/>
        <w:rPr>
          <w:szCs w:val="24"/>
        </w:rPr>
      </w:pPr>
      <w:r>
        <w:rPr>
          <w:rFonts w:hint="eastAsia"/>
          <w:szCs w:val="24"/>
        </w:rPr>
        <w:t>（二）支持住宿餐饮企业落户</w:t>
      </w:r>
    </w:p>
    <w:p>
      <w:pPr>
        <w:ind w:firstLine="480"/>
        <w:rPr>
          <w:szCs w:val="24"/>
        </w:rPr>
      </w:pPr>
      <w:r>
        <w:rPr>
          <w:rFonts w:hint="eastAsia"/>
          <w:szCs w:val="24"/>
        </w:rPr>
        <w:t>对新设立或新迁入的住宿、餐饮企业，落户当年或第一个会计年度营业额5000万元以上的，按年度营业额的5‰，给予最高100万元一次性奖励。</w:t>
      </w:r>
    </w:p>
    <w:p>
      <w:pPr>
        <w:ind w:firstLine="480"/>
        <w:rPr>
          <w:szCs w:val="24"/>
        </w:rPr>
      </w:pPr>
      <w:r>
        <w:rPr>
          <w:rFonts w:hint="eastAsia"/>
          <w:szCs w:val="24"/>
        </w:rPr>
        <w:t>（三）支持企业“小升规”</w:t>
      </w:r>
    </w:p>
    <w:p>
      <w:pPr>
        <w:ind w:firstLine="480"/>
        <w:rPr>
          <w:szCs w:val="24"/>
        </w:rPr>
      </w:pPr>
      <w:r>
        <w:rPr>
          <w:rFonts w:hint="eastAsia"/>
          <w:szCs w:val="24"/>
        </w:rPr>
        <w:t>对首次纳入坪山“限上”企业库的批发、零售、住宿、餐饮企业，给予5万元一次性奖励；对入库次年实现销售额（营业额）正增长的，再给予5万元一次性奖励。</w:t>
      </w:r>
    </w:p>
    <w:p>
      <w:pPr>
        <w:ind w:firstLine="480"/>
        <w:rPr>
          <w:szCs w:val="24"/>
        </w:rPr>
      </w:pPr>
      <w:r>
        <w:rPr>
          <w:rFonts w:hint="eastAsia"/>
          <w:szCs w:val="24"/>
        </w:rPr>
        <w:t>第七条 【支持商业高质高速发展】</w:t>
      </w:r>
    </w:p>
    <w:p>
      <w:pPr>
        <w:ind w:firstLine="480"/>
        <w:rPr>
          <w:szCs w:val="24"/>
        </w:rPr>
      </w:pPr>
      <w:r>
        <w:rPr>
          <w:rFonts w:hint="eastAsia"/>
          <w:szCs w:val="24"/>
        </w:rPr>
        <w:t>（一）支持批发企业快速增长</w:t>
      </w:r>
    </w:p>
    <w:p>
      <w:pPr>
        <w:ind w:firstLine="480"/>
        <w:rPr>
          <w:szCs w:val="24"/>
        </w:rPr>
      </w:pPr>
      <w:r>
        <w:rPr>
          <w:rFonts w:hint="eastAsia"/>
          <w:szCs w:val="24"/>
        </w:rPr>
        <w:t>1.对销售额10亿元以上、100亿元以下，上年度增长25%以上的批发企业，按增长部分的0.3‰，给予最高100万元奖励。</w:t>
      </w:r>
    </w:p>
    <w:p>
      <w:pPr>
        <w:ind w:firstLine="480"/>
        <w:rPr>
          <w:szCs w:val="24"/>
        </w:rPr>
      </w:pPr>
      <w:r>
        <w:rPr>
          <w:rFonts w:hint="eastAsia"/>
          <w:szCs w:val="24"/>
        </w:rPr>
        <w:t>2.对销售额100亿元以上、500亿元以下，上年度增长20%以上的批发企业，按增长部分的0.3‰，给予最高150万元奖励。</w:t>
      </w:r>
    </w:p>
    <w:p>
      <w:pPr>
        <w:ind w:firstLine="480"/>
        <w:rPr>
          <w:szCs w:val="24"/>
        </w:rPr>
      </w:pPr>
      <w:r>
        <w:rPr>
          <w:rFonts w:hint="eastAsia"/>
          <w:szCs w:val="24"/>
        </w:rPr>
        <w:t>（二）支持零售企业快速增长</w:t>
      </w:r>
    </w:p>
    <w:p>
      <w:pPr>
        <w:ind w:firstLine="480"/>
        <w:rPr>
          <w:szCs w:val="24"/>
        </w:rPr>
      </w:pPr>
      <w:r>
        <w:rPr>
          <w:rFonts w:hint="eastAsia"/>
          <w:szCs w:val="24"/>
        </w:rPr>
        <w:t>1.对销售额1亿元以上、5亿元以下，上年度增长25%以上的零售企业，按增长部分的2‰，给予最高100万元奖励。</w:t>
      </w:r>
    </w:p>
    <w:p>
      <w:pPr>
        <w:ind w:firstLine="480"/>
        <w:rPr>
          <w:szCs w:val="24"/>
        </w:rPr>
      </w:pPr>
      <w:r>
        <w:rPr>
          <w:rFonts w:hint="eastAsia"/>
          <w:szCs w:val="24"/>
        </w:rPr>
        <w:t>2.对销售额5亿元以上，上年度增长20%以上的零售企业，按增长部分的2‰，给予最高200万元奖励。</w:t>
      </w:r>
    </w:p>
    <w:p>
      <w:pPr>
        <w:ind w:firstLine="480"/>
        <w:rPr>
          <w:szCs w:val="24"/>
        </w:rPr>
      </w:pPr>
      <w:r>
        <w:rPr>
          <w:rFonts w:hint="eastAsia"/>
          <w:szCs w:val="24"/>
        </w:rPr>
        <w:t>（三）支持住宿餐饮企业快速增长</w:t>
      </w:r>
    </w:p>
    <w:p>
      <w:pPr>
        <w:ind w:firstLine="480"/>
        <w:rPr>
          <w:szCs w:val="24"/>
        </w:rPr>
      </w:pPr>
      <w:r>
        <w:rPr>
          <w:rFonts w:hint="eastAsia"/>
          <w:szCs w:val="24"/>
        </w:rPr>
        <w:t>1.对营业额1000万元以上、5000万元以下，上年度增长25%以上的住宿餐饮企业，按增长部分的5‰，给予最高20万元奖励。</w:t>
      </w:r>
    </w:p>
    <w:p>
      <w:pPr>
        <w:ind w:firstLine="480"/>
        <w:rPr>
          <w:szCs w:val="24"/>
        </w:rPr>
      </w:pPr>
      <w:r>
        <w:rPr>
          <w:rFonts w:hint="eastAsia"/>
          <w:szCs w:val="24"/>
        </w:rPr>
        <w:t>2.对营业额5000万元以上，上年度增长20%以上的住宿餐饮企业，按增长部分的5‰，给予最高50万元奖励。</w:t>
      </w:r>
    </w:p>
    <w:p>
      <w:pPr>
        <w:ind w:firstLine="480"/>
        <w:rPr>
          <w:szCs w:val="24"/>
        </w:rPr>
      </w:pPr>
      <w:r>
        <w:rPr>
          <w:rFonts w:hint="eastAsia"/>
          <w:szCs w:val="24"/>
        </w:rPr>
        <w:t>第八条 【支持建设商业配套】</w:t>
      </w:r>
    </w:p>
    <w:p>
      <w:pPr>
        <w:ind w:firstLine="480"/>
        <w:rPr>
          <w:szCs w:val="24"/>
        </w:rPr>
      </w:pPr>
      <w:r>
        <w:rPr>
          <w:rFonts w:hint="eastAsia"/>
          <w:szCs w:val="24"/>
        </w:rPr>
        <w:t>（一）支持商业综合体落户。对新开设的集中运营面积2(含)-3万平方米、3(含)-5万平方米、5万平方米以上的大型商业综合体，开业满一年后，分别给予运营机构200万元、400万元、600万元一次性奖励。</w:t>
      </w:r>
    </w:p>
    <w:p>
      <w:pPr>
        <w:ind w:firstLine="480"/>
        <w:rPr>
          <w:szCs w:val="24"/>
        </w:rPr>
      </w:pPr>
      <w:r>
        <w:rPr>
          <w:rFonts w:hint="eastAsia"/>
          <w:szCs w:val="24"/>
        </w:rPr>
        <w:t>（二）支持建设工业园区商业配套。对在2020年1月1日后竣工验收的占地面积5万平方米以上的工业园区内，配建商业设施且投入运营的企业予以资助。其中，投资建设商业面积3000平方米以上且实现统一运营的企业，按装修费用的20%，给予最高400万元一次性资助；投资建设公共食堂的企业，经区工信部门备案，按固定资产投资额的50%，给予最高50万元一次性资助。</w:t>
      </w:r>
    </w:p>
    <w:p>
      <w:pPr>
        <w:ind w:firstLine="480"/>
        <w:rPr>
          <w:szCs w:val="24"/>
        </w:rPr>
      </w:pPr>
      <w:r>
        <w:rPr>
          <w:rFonts w:hint="eastAsia"/>
          <w:szCs w:val="24"/>
        </w:rPr>
        <w:t>第九条 【支持商业品牌发展】</w:t>
      </w:r>
    </w:p>
    <w:p>
      <w:pPr>
        <w:ind w:firstLine="480"/>
        <w:rPr>
          <w:szCs w:val="24"/>
        </w:rPr>
      </w:pPr>
      <w:r>
        <w:rPr>
          <w:rFonts w:hint="eastAsia"/>
          <w:szCs w:val="24"/>
        </w:rPr>
        <w:t>（一）支持知名品牌首店</w:t>
      </w:r>
    </w:p>
    <w:p>
      <w:pPr>
        <w:ind w:firstLine="480"/>
        <w:rPr>
          <w:szCs w:val="24"/>
        </w:rPr>
      </w:pPr>
      <w:r>
        <w:rPr>
          <w:rFonts w:hint="eastAsia"/>
          <w:szCs w:val="24"/>
        </w:rPr>
        <w:t>1.对新设立的国内外知名品牌坪山首店，给予运营机构50万元一次性资助。</w:t>
      </w:r>
    </w:p>
    <w:p>
      <w:pPr>
        <w:ind w:firstLine="480"/>
        <w:rPr>
          <w:szCs w:val="24"/>
        </w:rPr>
      </w:pPr>
      <w:r>
        <w:rPr>
          <w:rFonts w:hint="eastAsia"/>
          <w:szCs w:val="24"/>
        </w:rPr>
        <w:t>2.大型商业综合体每引进1家国内外知名品牌坪山首店，给予运营机构10万元奖励；每引进1家国内外知名品牌深圳首店，给予运营机构15万元奖励。单个商业综合体运营机构年度最高奖励100万元。</w:t>
      </w:r>
    </w:p>
    <w:p>
      <w:pPr>
        <w:ind w:firstLine="480"/>
        <w:rPr>
          <w:szCs w:val="24"/>
        </w:rPr>
      </w:pPr>
      <w:r>
        <w:rPr>
          <w:rFonts w:hint="eastAsia"/>
          <w:szCs w:val="24"/>
        </w:rPr>
        <w:t>3.对新设立的《米其林指南》《黑珍珠餐厅指南》榜单内的品牌餐饮坪山首店，建筑面积200平方米以上的，给予运营机构50万元一次性奖励。</w:t>
      </w:r>
    </w:p>
    <w:p>
      <w:pPr>
        <w:ind w:firstLine="480"/>
        <w:rPr>
          <w:szCs w:val="24"/>
        </w:rPr>
      </w:pPr>
      <w:r>
        <w:rPr>
          <w:rFonts w:hint="eastAsia"/>
          <w:szCs w:val="24"/>
        </w:rPr>
        <w:t>（二）支持商业品牌活动</w:t>
      </w:r>
    </w:p>
    <w:p>
      <w:pPr>
        <w:ind w:firstLine="480"/>
        <w:rPr>
          <w:szCs w:val="24"/>
        </w:rPr>
      </w:pPr>
      <w:r>
        <w:rPr>
          <w:rFonts w:hint="eastAsia"/>
          <w:szCs w:val="24"/>
        </w:rPr>
        <w:t>1.对参与市级促消费活动的企业，按市级资助金额的50%给予配套资助，单个企业最高资助50万元。</w:t>
      </w:r>
    </w:p>
    <w:p>
      <w:pPr>
        <w:ind w:firstLine="480"/>
        <w:rPr>
          <w:szCs w:val="24"/>
        </w:rPr>
      </w:pPr>
      <w:r>
        <w:rPr>
          <w:rFonts w:hint="eastAsia"/>
          <w:szCs w:val="24"/>
        </w:rPr>
        <w:t>2.对参与区级促消费活动的商业综合体，集中运营面积达1.5万平方米以上的，经区工信部门备案，按实际活动投入费用的30%给予资助，单个商业综合体运营机构年度最高资助15万元。</w:t>
      </w:r>
    </w:p>
    <w:p>
      <w:pPr>
        <w:ind w:firstLine="480"/>
        <w:rPr>
          <w:szCs w:val="24"/>
        </w:rPr>
      </w:pPr>
    </w:p>
    <w:p>
      <w:pPr>
        <w:ind w:firstLine="0" w:firstLineChars="0"/>
        <w:jc w:val="center"/>
        <w:rPr>
          <w:szCs w:val="24"/>
        </w:rPr>
      </w:pPr>
      <w:r>
        <w:rPr>
          <w:rFonts w:hint="eastAsia"/>
          <w:szCs w:val="24"/>
        </w:rPr>
        <w:t>第四章  支持营利性服务业发展</w:t>
      </w:r>
    </w:p>
    <w:p>
      <w:pPr>
        <w:ind w:firstLine="480"/>
        <w:rPr>
          <w:szCs w:val="24"/>
        </w:rPr>
      </w:pPr>
    </w:p>
    <w:p>
      <w:pPr>
        <w:ind w:firstLine="480"/>
        <w:rPr>
          <w:szCs w:val="24"/>
        </w:rPr>
      </w:pPr>
      <w:r>
        <w:rPr>
          <w:rFonts w:hint="eastAsia"/>
          <w:szCs w:val="24"/>
        </w:rPr>
        <w:t>第十条 【支持营利性服务业集聚发展】</w:t>
      </w:r>
    </w:p>
    <w:p>
      <w:pPr>
        <w:ind w:firstLine="480"/>
        <w:rPr>
          <w:szCs w:val="24"/>
        </w:rPr>
      </w:pPr>
      <w:r>
        <w:rPr>
          <w:rFonts w:hint="eastAsia"/>
          <w:szCs w:val="24"/>
        </w:rPr>
        <w:t>（一）支持营利性服务业企业落户</w:t>
      </w:r>
    </w:p>
    <w:p>
      <w:pPr>
        <w:ind w:firstLine="480"/>
        <w:rPr>
          <w:szCs w:val="24"/>
        </w:rPr>
      </w:pPr>
      <w:r>
        <w:rPr>
          <w:rFonts w:hint="eastAsia"/>
          <w:szCs w:val="24"/>
        </w:rPr>
        <w:t>1.对新设立或新迁入的软件和信息服务业、科学研究与技术服务业企业，落户当年或第一个会计年度的营业收入3000万元以上，且纳入坪山区“规上”企业库的，按营业收入的1%，给予最高300万元一次性奖励。</w:t>
      </w:r>
    </w:p>
    <w:p>
      <w:pPr>
        <w:ind w:firstLine="480"/>
        <w:rPr>
          <w:szCs w:val="24"/>
        </w:rPr>
      </w:pPr>
      <w:r>
        <w:rPr>
          <w:rFonts w:hint="eastAsia"/>
          <w:szCs w:val="24"/>
        </w:rPr>
        <w:t>2.对新设立或新迁入的租赁和商务服务业、居民服务、修理和其他服务业企业，落户当年或第一个会计年度的营业收入3000万元以上，且纳入坪山区“规上”企业库的，按营业收入的1%，给予最高100万元一次性奖励。</w:t>
      </w:r>
    </w:p>
    <w:p>
      <w:pPr>
        <w:ind w:firstLine="480"/>
        <w:rPr>
          <w:szCs w:val="24"/>
        </w:rPr>
      </w:pPr>
      <w:r>
        <w:rPr>
          <w:rFonts w:hint="eastAsia"/>
          <w:szCs w:val="24"/>
        </w:rPr>
        <w:t>（二）支持营利性服务业企业租赁办公用房。对符合第（一）款条件的软件和信息服务业、科学研究与技术服务业、租赁和商务服务业企业，在坪山区租赁物业作为自用办公用房的，按实际租金且不超过60元/平方米/月的标准，给予一年租金资助，单个企业最高资助100万元。</w:t>
      </w:r>
    </w:p>
    <w:p>
      <w:pPr>
        <w:ind w:firstLine="480"/>
        <w:rPr>
          <w:szCs w:val="24"/>
        </w:rPr>
      </w:pPr>
      <w:r>
        <w:rPr>
          <w:rFonts w:hint="eastAsia"/>
          <w:szCs w:val="24"/>
        </w:rPr>
        <w:t>第十一条 【支持营利性服务业高质高速发展】</w:t>
      </w:r>
    </w:p>
    <w:p>
      <w:pPr>
        <w:ind w:firstLine="480"/>
        <w:rPr>
          <w:szCs w:val="24"/>
        </w:rPr>
      </w:pPr>
      <w:r>
        <w:rPr>
          <w:rFonts w:hint="eastAsia"/>
          <w:szCs w:val="24"/>
        </w:rPr>
        <w:t>（一）支持营利性服务业企业入库纳统。对首次纳入坪山区“规上”企业库的营利性服务业企业，给予10万元一次性奖励；对入库次年实现营业收入正增长的，再给予10万元一次性奖励。</w:t>
      </w:r>
    </w:p>
    <w:p>
      <w:pPr>
        <w:ind w:firstLine="480"/>
        <w:rPr>
          <w:szCs w:val="24"/>
        </w:rPr>
      </w:pPr>
      <w:r>
        <w:rPr>
          <w:rFonts w:hint="eastAsia"/>
          <w:szCs w:val="24"/>
        </w:rPr>
        <w:t>（二）支持营利性服务业企业快速增长。对上年度营业收入增长20%以上的规上营利性服务业企业，按增长部分的1%给予奖励。其中，软件和信息服务业、科学研究与技术服务业企业最高奖励100万元，租赁和商务服务业企业、居民服务、修理和其他服务业企业最高奖励50万元。</w:t>
      </w:r>
    </w:p>
    <w:p>
      <w:pPr>
        <w:ind w:firstLine="480"/>
        <w:rPr>
          <w:szCs w:val="24"/>
        </w:rPr>
      </w:pPr>
      <w:r>
        <w:rPr>
          <w:rFonts w:hint="eastAsia"/>
          <w:szCs w:val="24"/>
        </w:rPr>
        <w:t>第十二条 【支持法律会计服务业集聚发展】</w:t>
      </w:r>
    </w:p>
    <w:p>
      <w:pPr>
        <w:ind w:firstLine="480"/>
        <w:rPr>
          <w:szCs w:val="24"/>
        </w:rPr>
      </w:pPr>
      <w:r>
        <w:rPr>
          <w:rFonts w:hint="eastAsia"/>
          <w:szCs w:val="24"/>
        </w:rPr>
        <w:t>（一）支持法律会计机构落户</w:t>
      </w:r>
    </w:p>
    <w:p>
      <w:pPr>
        <w:ind w:firstLine="480"/>
        <w:rPr>
          <w:szCs w:val="24"/>
        </w:rPr>
      </w:pPr>
      <w:r>
        <w:rPr>
          <w:rFonts w:hint="eastAsia"/>
          <w:szCs w:val="24"/>
        </w:rPr>
        <w:t>1.对全国、广东省优秀律师事务所将注册地迁至坪山区的，分别给予300万元、50万元一次性奖励；在坪山区新设立分支机构，执业律师人数在10人以上的，分别给予100万元、30万元一次性奖励。</w:t>
      </w:r>
    </w:p>
    <w:p>
      <w:pPr>
        <w:ind w:firstLine="480"/>
        <w:rPr>
          <w:szCs w:val="24"/>
        </w:rPr>
      </w:pPr>
      <w:r>
        <w:rPr>
          <w:rFonts w:hint="eastAsia"/>
          <w:szCs w:val="24"/>
        </w:rPr>
        <w:t>2.对全国、广东省百强会计师事务所将注册地迁至坪山区的，分别给予300万元、50万元一次性奖励；在坪山区新设立分支机构的，分别给予100万元、30万元一次性奖励。</w:t>
      </w:r>
    </w:p>
    <w:p>
      <w:pPr>
        <w:ind w:firstLine="480"/>
        <w:rPr>
          <w:szCs w:val="24"/>
        </w:rPr>
      </w:pPr>
      <w:r>
        <w:rPr>
          <w:rFonts w:hint="eastAsia"/>
          <w:szCs w:val="24"/>
        </w:rPr>
        <w:t>3.对香港、澳门地区律师事务所与内地律师事务所在坪山区设立联营律师事务所并实际经营的，给予30万元一次性奖励。</w:t>
      </w:r>
    </w:p>
    <w:p>
      <w:pPr>
        <w:ind w:firstLine="480"/>
        <w:rPr>
          <w:szCs w:val="24"/>
        </w:rPr>
      </w:pPr>
      <w:r>
        <w:rPr>
          <w:rFonts w:hint="eastAsia"/>
          <w:szCs w:val="24"/>
        </w:rPr>
        <w:t>4.对在坪山区新设立以海事海商、知识产权、跨境投资、涉外法律服务为主要业务，且获得省级以上行业主管部门、法学会、行业协会授予的行业综合性荣誉的知名律师事务所或其分支机构，经区司法局备案，分别给予100万元、30万元一次性奖励；对取得专利代理、商标代理、破产管理人等相应资质的坪山区律师事务所，经区司法局备案，给予30万一次性奖励。</w:t>
      </w:r>
    </w:p>
    <w:p>
      <w:pPr>
        <w:ind w:firstLine="480"/>
        <w:rPr>
          <w:szCs w:val="24"/>
        </w:rPr>
      </w:pPr>
      <w:r>
        <w:rPr>
          <w:rFonts w:hint="eastAsia"/>
          <w:szCs w:val="24"/>
        </w:rPr>
        <w:t>5.对2021年1月1日后新迁入或新设立的会计师事务所，在本区注册且持续经营1年（含）以上，营业收入200万元以上的，给予10万元一次性奖励。</w:t>
      </w:r>
    </w:p>
    <w:p>
      <w:pPr>
        <w:ind w:firstLine="480"/>
        <w:rPr>
          <w:szCs w:val="24"/>
        </w:rPr>
      </w:pPr>
      <w:r>
        <w:rPr>
          <w:rFonts w:hint="eastAsia"/>
          <w:szCs w:val="24"/>
        </w:rPr>
        <w:t>（二）支持法律会计机构租赁办公用房</w:t>
      </w:r>
    </w:p>
    <w:p>
      <w:pPr>
        <w:ind w:firstLine="480"/>
        <w:rPr>
          <w:szCs w:val="24"/>
        </w:rPr>
      </w:pPr>
      <w:r>
        <w:rPr>
          <w:rFonts w:hint="eastAsia"/>
          <w:szCs w:val="24"/>
        </w:rPr>
        <w:t>1.对全国优秀律师事务所、广东省优秀律师事务所、全国百强会计师事务所、广东省百强会计师事务所将注册地迁入坪山区或在坪山区新设立分支机构，且租赁坪山区物业作为自用办公用房（不含附属和配套用房）的，按落户当年或落户后第一个会计年度实际租金的50%，且不超过50元/平方米/月的标准，给予最高200万元一次性资助。</w:t>
      </w:r>
    </w:p>
    <w:p>
      <w:pPr>
        <w:ind w:firstLine="480"/>
        <w:rPr>
          <w:szCs w:val="24"/>
        </w:rPr>
      </w:pPr>
      <w:r>
        <w:rPr>
          <w:rFonts w:hint="eastAsia"/>
          <w:szCs w:val="24"/>
        </w:rPr>
        <w:t>2.对拥有执业人数15人以上的律师事务所或注册会计师5人以上的会计师事务所，租赁坪山区物业作为自用办公用房（不含附属和配套用房）的，按落户当年或落户后第一个会计年度实际租金的30%，且不超过30元/平方米/月的标准，给予最高50万元一次性资助。</w:t>
      </w:r>
    </w:p>
    <w:p>
      <w:pPr>
        <w:ind w:firstLine="480"/>
        <w:rPr>
          <w:szCs w:val="24"/>
        </w:rPr>
      </w:pPr>
      <w:r>
        <w:rPr>
          <w:rFonts w:hint="eastAsia"/>
          <w:szCs w:val="24"/>
        </w:rPr>
        <w:t>3.对2019年1月1日后设立的调解机构、仲裁机构，经区司法局备案，按上年度实际租金的30%，且不超过30元/平方米/月的标准，给予一年租金资助，单个机构最高资助30万元。</w:t>
      </w:r>
    </w:p>
    <w:p>
      <w:pPr>
        <w:ind w:firstLine="480"/>
        <w:rPr>
          <w:szCs w:val="24"/>
        </w:rPr>
      </w:pPr>
      <w:r>
        <w:rPr>
          <w:rFonts w:hint="eastAsia"/>
          <w:szCs w:val="24"/>
        </w:rPr>
        <w:t>（三）支持法律会计机构人才执业</w:t>
      </w:r>
    </w:p>
    <w:p>
      <w:pPr>
        <w:ind w:firstLine="480"/>
        <w:rPr>
          <w:szCs w:val="24"/>
        </w:rPr>
      </w:pPr>
      <w:r>
        <w:rPr>
          <w:rFonts w:hint="eastAsia"/>
          <w:szCs w:val="24"/>
        </w:rPr>
        <w:t>1.对拥有注册会计师、注册税务师、资产评估师、律师等专业资格证书的人才，年龄在35周岁(含)以下，具有本科及以上学历，2020年1月1日后在坪山区法律会计机构开始执业，且连续执业12个月以上的，给予2万元一次性奖励。</w:t>
      </w:r>
    </w:p>
    <w:p>
      <w:pPr>
        <w:ind w:firstLine="480"/>
        <w:rPr>
          <w:szCs w:val="24"/>
        </w:rPr>
      </w:pPr>
      <w:r>
        <w:rPr>
          <w:rFonts w:hint="eastAsia"/>
          <w:szCs w:val="24"/>
        </w:rPr>
        <w:t>2.对同时具备工学和法学学士学位以上的复合型人才，2023年1月1日后在坪山区法律会计机构开始执业，且连续执业12个月以上的，给予3万元一次性奖励。</w:t>
      </w:r>
    </w:p>
    <w:p>
      <w:pPr>
        <w:ind w:firstLine="480"/>
        <w:rPr>
          <w:szCs w:val="24"/>
        </w:rPr>
      </w:pPr>
      <w:r>
        <w:rPr>
          <w:rFonts w:hint="eastAsia"/>
          <w:szCs w:val="24"/>
        </w:rPr>
        <w:t>（四）支持港澳律师在坪山执业</w:t>
      </w:r>
    </w:p>
    <w:p>
      <w:pPr>
        <w:ind w:firstLine="480"/>
        <w:rPr>
          <w:szCs w:val="24"/>
        </w:rPr>
      </w:pPr>
      <w:r>
        <w:rPr>
          <w:rFonts w:hint="eastAsia"/>
          <w:szCs w:val="24"/>
        </w:rPr>
        <w:t>1.对香港法律执业者和澳门执业律师通过粤港澳大湾区律师执业考试，取得内地执业资质且在坪山区连续执业12个月以上的，给予10万元一次性奖励。</w:t>
      </w:r>
    </w:p>
    <w:p>
      <w:pPr>
        <w:ind w:firstLine="480"/>
        <w:rPr>
          <w:szCs w:val="24"/>
        </w:rPr>
      </w:pPr>
      <w:r>
        <w:rPr>
          <w:rFonts w:hint="eastAsia"/>
          <w:szCs w:val="24"/>
        </w:rPr>
        <w:t>2.对取得香港或澳门法律执业资质的内地法律执业者，在坪山区连续执业12个月以上的，给予5万元一次性奖励。</w:t>
      </w:r>
    </w:p>
    <w:p>
      <w:pPr>
        <w:ind w:firstLine="480"/>
        <w:rPr>
          <w:szCs w:val="24"/>
        </w:rPr>
      </w:pPr>
      <w:r>
        <w:rPr>
          <w:rFonts w:hint="eastAsia"/>
          <w:szCs w:val="24"/>
        </w:rPr>
        <w:t>第十三条 【支持法律服务实体经济】</w:t>
      </w:r>
    </w:p>
    <w:p>
      <w:pPr>
        <w:ind w:firstLine="480"/>
        <w:rPr>
          <w:szCs w:val="24"/>
        </w:rPr>
      </w:pPr>
      <w:r>
        <w:rPr>
          <w:rFonts w:hint="eastAsia"/>
          <w:szCs w:val="24"/>
        </w:rPr>
        <w:t>鼓励坪山区法律服务机构面向坪山区企业提供普法、商事调解、人民调解或“法治体检”等公益法律服务。对上年度开展普法宣传20次以上，或帮助企业化解矛盾纠纷、挽回损失或者获得重大利益累计500万元以上，或开展“法治体检”20家次以上的法律服务机构，经区司法局备案，给予5万元奖励。本条款年度奖励总额不超过50万元。</w:t>
      </w:r>
    </w:p>
    <w:p>
      <w:pPr>
        <w:ind w:firstLine="480"/>
        <w:rPr>
          <w:szCs w:val="24"/>
        </w:rPr>
      </w:pPr>
    </w:p>
    <w:p>
      <w:pPr>
        <w:ind w:firstLine="0" w:firstLineChars="0"/>
        <w:jc w:val="center"/>
        <w:rPr>
          <w:szCs w:val="24"/>
        </w:rPr>
      </w:pPr>
      <w:r>
        <w:rPr>
          <w:rFonts w:hint="eastAsia"/>
          <w:szCs w:val="24"/>
        </w:rPr>
        <w:t>第五章  支持会展业发展</w:t>
      </w:r>
    </w:p>
    <w:p>
      <w:pPr>
        <w:ind w:firstLine="480"/>
        <w:rPr>
          <w:szCs w:val="24"/>
        </w:rPr>
      </w:pPr>
    </w:p>
    <w:p>
      <w:pPr>
        <w:ind w:firstLine="480"/>
        <w:rPr>
          <w:szCs w:val="24"/>
        </w:rPr>
      </w:pPr>
      <w:r>
        <w:rPr>
          <w:rFonts w:hint="eastAsia"/>
          <w:szCs w:val="24"/>
        </w:rPr>
        <w:t>第十四条 【支持会展业集聚和品牌发展】</w:t>
      </w:r>
    </w:p>
    <w:p>
      <w:pPr>
        <w:ind w:firstLine="480"/>
        <w:rPr>
          <w:szCs w:val="24"/>
        </w:rPr>
      </w:pPr>
      <w:r>
        <w:rPr>
          <w:rFonts w:hint="eastAsia"/>
          <w:szCs w:val="24"/>
        </w:rPr>
        <w:t>（一）支持会展企业落户。对新设立或新迁入的会展类企业，落户当年或第一个会计年度营业收入超过300万元的，按会展业务营业收入的3%，给予最高200万元一次性奖励。</w:t>
      </w:r>
    </w:p>
    <w:p>
      <w:pPr>
        <w:ind w:firstLine="480"/>
        <w:rPr>
          <w:szCs w:val="24"/>
        </w:rPr>
      </w:pPr>
      <w:r>
        <w:rPr>
          <w:rFonts w:hint="eastAsia"/>
          <w:szCs w:val="24"/>
        </w:rPr>
        <w:t>（二）支持品牌展会展览</w:t>
      </w:r>
    </w:p>
    <w:p>
      <w:pPr>
        <w:ind w:firstLine="480"/>
        <w:rPr>
          <w:szCs w:val="24"/>
        </w:rPr>
      </w:pPr>
      <w:r>
        <w:rPr>
          <w:rFonts w:hint="eastAsia"/>
          <w:szCs w:val="24"/>
        </w:rPr>
        <w:t>1.对在坪山区举办的获得国际展览业协会（UFI）认证的展会、国际大会及会议协会（ICCA）认证的会议，分别给予承办方15万元、10万元一次性奖励。</w:t>
      </w:r>
    </w:p>
    <w:p>
      <w:pPr>
        <w:ind w:firstLine="480"/>
        <w:rPr>
          <w:szCs w:val="24"/>
        </w:rPr>
      </w:pPr>
      <w:r>
        <w:rPr>
          <w:rFonts w:hint="eastAsia"/>
          <w:szCs w:val="24"/>
        </w:rPr>
        <w:t>2.对获得国际展览业协会（UFI）、国际大会及会议协会（ICCA）认证的坪山区会展企业，给予50万元一次性奖励。</w:t>
      </w:r>
    </w:p>
    <w:p>
      <w:pPr>
        <w:ind w:firstLine="480"/>
        <w:rPr>
          <w:szCs w:val="24"/>
        </w:rPr>
      </w:pPr>
      <w:r>
        <w:rPr>
          <w:rFonts w:hint="eastAsia"/>
          <w:szCs w:val="24"/>
        </w:rPr>
        <w:t>第十五条 【支持专业会议和赛事发展】</w:t>
      </w:r>
    </w:p>
    <w:p>
      <w:pPr>
        <w:ind w:firstLine="480"/>
        <w:rPr>
          <w:szCs w:val="24"/>
        </w:rPr>
      </w:pPr>
      <w:r>
        <w:rPr>
          <w:rFonts w:hint="eastAsia"/>
          <w:szCs w:val="24"/>
        </w:rPr>
        <w:t>对在坪山区举办符合市“20＋8”产业方向的会议或赛事，按以下标准给予承办单位资助：</w:t>
      </w:r>
    </w:p>
    <w:p>
      <w:pPr>
        <w:ind w:firstLine="480"/>
        <w:rPr>
          <w:szCs w:val="24"/>
        </w:rPr>
      </w:pPr>
      <w:r>
        <w:rPr>
          <w:rFonts w:hint="eastAsia"/>
          <w:szCs w:val="24"/>
        </w:rPr>
        <w:t>1.对国际性、全国性的会议或赛事，经区工信部门备案，按实际场地租赁费用和境内外专业媒体广告费用的50%，给予承办单位最高150万元资助，其中广告费用资助额不超过30万元。</w:t>
      </w:r>
    </w:p>
    <w:p>
      <w:pPr>
        <w:ind w:firstLine="480"/>
        <w:rPr>
          <w:szCs w:val="24"/>
        </w:rPr>
      </w:pPr>
      <w:r>
        <w:rPr>
          <w:rFonts w:hint="eastAsia"/>
          <w:szCs w:val="24"/>
        </w:rPr>
        <w:t>2.对符合重要嘉宾出席标准的会议或赛事，经区工信部门备案，按实际场地租赁费用和境内外专业媒体广告费用的50%，给予承办单位资助。重要嘉宾出席3人以上的，给予承办单位最高80万元资助，其中广告费用资助额不超过16万元；重要嘉宾出席5人以上的，给予承办单位最高100万元资助，其中广告费用资助额不超过20万元；重要嘉宾出席10人以上的，给予承办单位最高150万元资助，其中广告费用资助额不超过30万元。</w:t>
      </w:r>
    </w:p>
    <w:p>
      <w:pPr>
        <w:ind w:firstLine="480"/>
        <w:rPr>
          <w:szCs w:val="24"/>
        </w:rPr>
      </w:pPr>
    </w:p>
    <w:p>
      <w:pPr>
        <w:ind w:firstLine="0" w:firstLineChars="0"/>
        <w:jc w:val="center"/>
        <w:rPr>
          <w:szCs w:val="24"/>
        </w:rPr>
      </w:pPr>
      <w:r>
        <w:rPr>
          <w:rFonts w:hint="eastAsia"/>
          <w:szCs w:val="24"/>
        </w:rPr>
        <w:t>第六章  支持保税服务发展</w:t>
      </w:r>
    </w:p>
    <w:p>
      <w:pPr>
        <w:ind w:firstLine="480"/>
        <w:rPr>
          <w:szCs w:val="24"/>
        </w:rPr>
      </w:pPr>
    </w:p>
    <w:p>
      <w:pPr>
        <w:ind w:firstLine="480"/>
        <w:rPr>
          <w:szCs w:val="24"/>
        </w:rPr>
      </w:pPr>
      <w:r>
        <w:rPr>
          <w:rFonts w:hint="eastAsia"/>
          <w:szCs w:val="24"/>
        </w:rPr>
        <w:t>第十六条 【支持电子元器件和集成电路分拨业务发展】</w:t>
      </w:r>
    </w:p>
    <w:p>
      <w:pPr>
        <w:ind w:firstLine="480"/>
        <w:rPr>
          <w:szCs w:val="24"/>
        </w:rPr>
      </w:pPr>
      <w:r>
        <w:rPr>
          <w:rFonts w:hint="eastAsia"/>
          <w:szCs w:val="24"/>
        </w:rPr>
        <w:t>（一）支持物流仓库智能化升级改造。对坪山综保区内面积5000平方米以上的集成电路和电子元器件物流供应链企业，购置设备和改造升级实际投入500万元以上的（不含装修费用），经区工信部门备案，按实际投入费用的10%，给予最高500万元资助。</w:t>
      </w:r>
    </w:p>
    <w:p>
      <w:pPr>
        <w:ind w:firstLine="480"/>
        <w:rPr>
          <w:szCs w:val="24"/>
        </w:rPr>
      </w:pPr>
      <w:r>
        <w:rPr>
          <w:rFonts w:hint="eastAsia"/>
          <w:szCs w:val="24"/>
        </w:rPr>
        <w:t>（二）支持集成电路和电子元器件物流供应链企业租赁生产用房。对新入驻坪山综保区的集成电路和电子元器件物流供应链企业，入驻当年或第一个会计年度营业收入达到2000万元以上的，按实际租金且不超过30元/平方米/月的标准，给予一年租金资助，单个企业最高资助100万元。</w:t>
      </w:r>
    </w:p>
    <w:p>
      <w:pPr>
        <w:ind w:firstLine="480"/>
        <w:rPr>
          <w:szCs w:val="24"/>
        </w:rPr>
      </w:pPr>
      <w:r>
        <w:rPr>
          <w:rFonts w:hint="eastAsia"/>
          <w:szCs w:val="24"/>
        </w:rPr>
        <w:t>第十七条 【支持物流供应链企业高质高速发展】</w:t>
      </w:r>
    </w:p>
    <w:p>
      <w:pPr>
        <w:ind w:firstLine="480"/>
        <w:rPr>
          <w:szCs w:val="24"/>
        </w:rPr>
      </w:pPr>
      <w:r>
        <w:rPr>
          <w:rFonts w:hint="eastAsia"/>
          <w:szCs w:val="24"/>
        </w:rPr>
        <w:t>对坪山综保区内面积5000平方米以上、营业收入（不含供应链金融业务、代收代付和运输服务金额）快速增长的物流供应链服务企业给予奖励，标准如下：</w:t>
      </w:r>
    </w:p>
    <w:p>
      <w:pPr>
        <w:ind w:firstLine="480"/>
        <w:rPr>
          <w:szCs w:val="24"/>
        </w:rPr>
      </w:pPr>
      <w:r>
        <w:rPr>
          <w:rFonts w:hint="eastAsia"/>
          <w:szCs w:val="24"/>
        </w:rPr>
        <w:t>1.营业收入2000万元以上、1亿元以下，上年度增长10%以上，按增长部分的1%，给予最高50万元奖励。</w:t>
      </w:r>
    </w:p>
    <w:p>
      <w:pPr>
        <w:ind w:firstLine="480"/>
        <w:rPr>
          <w:szCs w:val="24"/>
        </w:rPr>
      </w:pPr>
      <w:r>
        <w:rPr>
          <w:rFonts w:hint="eastAsia"/>
          <w:szCs w:val="24"/>
        </w:rPr>
        <w:t>2.对营业收入1亿元以上、2亿元以下，上年度增长10%以上，按增长部分的1%，给予最高100万元奖励。</w:t>
      </w:r>
    </w:p>
    <w:p>
      <w:pPr>
        <w:ind w:firstLine="480"/>
        <w:rPr>
          <w:szCs w:val="24"/>
        </w:rPr>
      </w:pPr>
      <w:r>
        <w:rPr>
          <w:rFonts w:hint="eastAsia"/>
          <w:szCs w:val="24"/>
        </w:rPr>
        <w:t>3.营业收入2亿元以上，上年度增长10%以上，按增长部分的1%，给予最高200万元奖励。</w:t>
      </w:r>
    </w:p>
    <w:p>
      <w:pPr>
        <w:ind w:firstLine="480"/>
        <w:rPr>
          <w:szCs w:val="24"/>
        </w:rPr>
      </w:pPr>
      <w:r>
        <w:rPr>
          <w:rFonts w:hint="eastAsia"/>
          <w:szCs w:val="24"/>
        </w:rPr>
        <w:t>第十八条 【支持建设运营公共服务平台】</w:t>
      </w:r>
    </w:p>
    <w:p>
      <w:pPr>
        <w:ind w:firstLine="480"/>
        <w:rPr>
          <w:szCs w:val="24"/>
        </w:rPr>
      </w:pPr>
      <w:r>
        <w:rPr>
          <w:rFonts w:hint="eastAsia"/>
          <w:szCs w:val="24"/>
        </w:rPr>
        <w:t>（一）支持建设公共服务平台。对在坪山综保区建设服务生物医药、新一代信息技术或新能源汽车等产业的公共服务平台，为企业提供保税存储、检测维修、通关查验等专业服务，上年度购置软硬件设施及装修费用投入100万元以上的，经区工信部门备案，按实际投入的30%，给予平台建设主体最高300万元资助。</w:t>
      </w:r>
    </w:p>
    <w:p>
      <w:pPr>
        <w:ind w:firstLine="480"/>
        <w:rPr>
          <w:szCs w:val="24"/>
        </w:rPr>
      </w:pPr>
      <w:r>
        <w:rPr>
          <w:rFonts w:hint="eastAsia"/>
          <w:szCs w:val="24"/>
        </w:rPr>
        <w:t>（二）支持公共服务平台推广。对利用坪山综保区检测维修公共服务平台开展自产产品检测维修业务的坪山区规上工业企业，实际支付保税检测维修服务费用50万元以上的，按实际支付费用的10%，给予最高10万元资助。</w:t>
      </w:r>
    </w:p>
    <w:p>
      <w:pPr>
        <w:ind w:firstLine="480"/>
        <w:rPr>
          <w:szCs w:val="24"/>
        </w:rPr>
      </w:pPr>
      <w:r>
        <w:rPr>
          <w:rFonts w:hint="eastAsia"/>
          <w:szCs w:val="24"/>
        </w:rPr>
        <w:t>第十九条 【支持提升通关环境】</w:t>
      </w:r>
    </w:p>
    <w:p>
      <w:pPr>
        <w:ind w:firstLine="480"/>
        <w:rPr>
          <w:szCs w:val="24"/>
        </w:rPr>
      </w:pPr>
      <w:r>
        <w:rPr>
          <w:rFonts w:hint="eastAsia"/>
          <w:szCs w:val="24"/>
        </w:rPr>
        <w:t>对在坪山综保区通关查验合规的企业，给予查验吊装、移位、仓储费用的全额资助。</w:t>
      </w:r>
    </w:p>
    <w:p>
      <w:pPr>
        <w:ind w:firstLine="480"/>
        <w:rPr>
          <w:szCs w:val="24"/>
        </w:rPr>
      </w:pPr>
    </w:p>
    <w:p>
      <w:pPr>
        <w:ind w:firstLine="0" w:firstLineChars="0"/>
        <w:jc w:val="center"/>
        <w:rPr>
          <w:szCs w:val="24"/>
        </w:rPr>
      </w:pPr>
      <w:r>
        <w:rPr>
          <w:rFonts w:hint="eastAsia"/>
          <w:szCs w:val="24"/>
        </w:rPr>
        <w:t>第七章  支持服务业新业态发展</w:t>
      </w:r>
    </w:p>
    <w:p>
      <w:pPr>
        <w:ind w:firstLine="480"/>
        <w:rPr>
          <w:szCs w:val="24"/>
        </w:rPr>
      </w:pPr>
    </w:p>
    <w:p>
      <w:pPr>
        <w:ind w:firstLine="480"/>
        <w:rPr>
          <w:szCs w:val="24"/>
        </w:rPr>
      </w:pPr>
      <w:r>
        <w:rPr>
          <w:rFonts w:hint="eastAsia"/>
          <w:szCs w:val="24"/>
        </w:rPr>
        <w:t>第二十条 【支持贸易型总部集聚发展】</w:t>
      </w:r>
    </w:p>
    <w:p>
      <w:pPr>
        <w:ind w:firstLine="480"/>
        <w:rPr>
          <w:szCs w:val="24"/>
        </w:rPr>
      </w:pPr>
      <w:r>
        <w:rPr>
          <w:rFonts w:hint="eastAsia"/>
          <w:szCs w:val="24"/>
        </w:rPr>
        <w:t>（一）支持贸易型总部认定。对新迁入或新获评的市级贸易型总部企业，给予50万元一次性奖励。</w:t>
      </w:r>
    </w:p>
    <w:p>
      <w:pPr>
        <w:ind w:firstLine="480"/>
        <w:rPr>
          <w:szCs w:val="24"/>
        </w:rPr>
      </w:pPr>
      <w:r>
        <w:rPr>
          <w:rFonts w:hint="eastAsia"/>
          <w:szCs w:val="24"/>
        </w:rPr>
        <w:t>（二）支持贸易型总部租赁办公用房。对新迁入的市级贸易型总部企业，在坪山区租赁物业作为自用办公用房的，按实际租金且不超过60元/平方米/月的标准，给予一年租金资助，单个企业最高资助200万元。</w:t>
      </w:r>
    </w:p>
    <w:p>
      <w:pPr>
        <w:ind w:firstLine="480"/>
        <w:rPr>
          <w:szCs w:val="24"/>
        </w:rPr>
      </w:pPr>
      <w:r>
        <w:rPr>
          <w:rFonts w:hint="eastAsia"/>
          <w:szCs w:val="24"/>
        </w:rPr>
        <w:t>第二十一条 【支持跨境贸易发展】</w:t>
      </w:r>
    </w:p>
    <w:p>
      <w:pPr>
        <w:ind w:firstLine="480"/>
        <w:rPr>
          <w:szCs w:val="24"/>
        </w:rPr>
      </w:pPr>
      <w:r>
        <w:rPr>
          <w:rFonts w:hint="eastAsia"/>
          <w:szCs w:val="24"/>
        </w:rPr>
        <w:t>（一）支持服务贸易。对纳入商务部统计平台的服务贸易企业，上年度进出口总额达到500万美元以上的，按进出口交易额（以人民币计）的3‰，给予最高50万元资助。</w:t>
      </w:r>
    </w:p>
    <w:p>
      <w:pPr>
        <w:ind w:firstLine="480"/>
        <w:rPr>
          <w:szCs w:val="24"/>
        </w:rPr>
      </w:pPr>
      <w:r>
        <w:rPr>
          <w:rFonts w:hint="eastAsia"/>
          <w:szCs w:val="24"/>
        </w:rPr>
        <w:t>（二）支持跨境电商。对上年度进出口总额达到500万美元以上的跨境电商企业，按进出口交易额（以人民币计）的3‰，给予最高50万元资助。</w:t>
      </w:r>
    </w:p>
    <w:p>
      <w:pPr>
        <w:ind w:firstLine="480"/>
        <w:rPr>
          <w:szCs w:val="24"/>
        </w:rPr>
      </w:pPr>
      <w:r>
        <w:rPr>
          <w:rFonts w:hint="eastAsia"/>
          <w:szCs w:val="24"/>
        </w:rPr>
        <w:t>（三）支持AEO海关认证。对上年度首次通过深圳海关AEO高级认证的企业，给予20万元一次性奖励。对上年度通过深圳海关复审重获AEO高级认证的企业，给予5万元一次性奖励。</w:t>
      </w:r>
    </w:p>
    <w:p>
      <w:pPr>
        <w:ind w:firstLine="480"/>
        <w:rPr>
          <w:szCs w:val="24"/>
        </w:rPr>
      </w:pPr>
      <w:r>
        <w:rPr>
          <w:rFonts w:hint="eastAsia"/>
          <w:szCs w:val="24"/>
        </w:rPr>
        <w:t>第二十二条 【支持消费新业态发展】</w:t>
      </w:r>
    </w:p>
    <w:p>
      <w:pPr>
        <w:ind w:firstLine="480"/>
        <w:rPr>
          <w:szCs w:val="24"/>
        </w:rPr>
      </w:pPr>
      <w:r>
        <w:rPr>
          <w:rFonts w:hint="eastAsia"/>
          <w:szCs w:val="24"/>
        </w:rPr>
        <w:t>对商贸企业利用大数据、人工智能、区块链等新技术，开展消费场景和零售业务数字化、信息化、智能化升级的，按市级资助金额的30%，给予最高50万元配套资助。</w:t>
      </w:r>
    </w:p>
    <w:p>
      <w:pPr>
        <w:ind w:firstLine="480"/>
        <w:rPr>
          <w:szCs w:val="24"/>
        </w:rPr>
      </w:pPr>
      <w:r>
        <w:rPr>
          <w:rFonts w:hint="eastAsia"/>
          <w:szCs w:val="24"/>
        </w:rPr>
        <w:t>第二十三条 【支持直升机固定航线发展】</w:t>
      </w:r>
    </w:p>
    <w:p>
      <w:pPr>
        <w:ind w:firstLine="480"/>
        <w:rPr>
          <w:szCs w:val="24"/>
        </w:rPr>
      </w:pPr>
      <w:r>
        <w:rPr>
          <w:rFonts w:hint="eastAsia"/>
          <w:szCs w:val="24"/>
        </w:rPr>
        <w:t>（一）对提供直升机固定航线飞行服务的企业，经区工信部门备案，按上年度在坪山区实际运营成本的50%，给予年度最高400万元资助。</w:t>
      </w:r>
    </w:p>
    <w:p>
      <w:pPr>
        <w:ind w:firstLine="480"/>
        <w:rPr>
          <w:szCs w:val="24"/>
        </w:rPr>
      </w:pPr>
      <w:r>
        <w:rPr>
          <w:rFonts w:hint="eastAsia"/>
          <w:szCs w:val="24"/>
        </w:rPr>
        <w:t>（二）对为上年度获得《坪山区突出贡献奖》表彰的企业和机构提供直升机乘用服务的直升机运营企业，经区工信部门备案，给予奖励，具体方案由区工信部门另行制定。本条款年度奖励总额最高600万元。</w:t>
      </w:r>
    </w:p>
    <w:p>
      <w:pPr>
        <w:ind w:firstLine="480"/>
        <w:rPr>
          <w:szCs w:val="24"/>
        </w:rPr>
      </w:pPr>
    </w:p>
    <w:p>
      <w:pPr>
        <w:ind w:firstLine="0" w:firstLineChars="0"/>
        <w:jc w:val="center"/>
        <w:rPr>
          <w:szCs w:val="24"/>
        </w:rPr>
      </w:pPr>
      <w:r>
        <w:rPr>
          <w:rFonts w:hint="eastAsia"/>
          <w:szCs w:val="24"/>
        </w:rPr>
        <w:t>第八章  附  则</w:t>
      </w:r>
    </w:p>
    <w:p>
      <w:pPr>
        <w:ind w:firstLine="480"/>
        <w:rPr>
          <w:szCs w:val="24"/>
        </w:rPr>
      </w:pPr>
    </w:p>
    <w:p>
      <w:pPr>
        <w:ind w:firstLine="480"/>
        <w:rPr>
          <w:szCs w:val="24"/>
        </w:rPr>
      </w:pPr>
      <w:r>
        <w:rPr>
          <w:rFonts w:hint="eastAsia"/>
          <w:szCs w:val="24"/>
        </w:rPr>
        <w:t>第二十四条 【其他事项】</w:t>
      </w:r>
    </w:p>
    <w:p>
      <w:pPr>
        <w:ind w:firstLine="480"/>
        <w:rPr>
          <w:szCs w:val="24"/>
        </w:rPr>
      </w:pPr>
      <w:r>
        <w:rPr>
          <w:rFonts w:hint="eastAsia"/>
          <w:szCs w:val="24"/>
        </w:rPr>
        <w:t>（一）本措施对单个企业资助和奖励总金额原则上不超过该企业上年度区级财力贡献的60%。申请第四条、第五条、第六条、第八条第（一）款、第九条第（一）款、第十条、第十一条第（一）款、第十二条、第十三条、第十四条、第十五条、第十六条第（二）款、第十八条、第二十三条以及第二十条中新迁入的贸易型总部除外。</w:t>
      </w:r>
    </w:p>
    <w:p>
      <w:pPr>
        <w:ind w:firstLine="480"/>
        <w:rPr>
          <w:szCs w:val="24"/>
        </w:rPr>
      </w:pPr>
      <w:r>
        <w:rPr>
          <w:rFonts w:hint="eastAsia"/>
          <w:szCs w:val="24"/>
        </w:rPr>
        <w:t>（二）本措施第十五条、第十八条第（二）款，第十九条、第二十一条第（一）（三）款可不受本措施第三条申报主体限制。</w:t>
      </w:r>
    </w:p>
    <w:p>
      <w:pPr>
        <w:ind w:firstLine="480"/>
        <w:rPr>
          <w:szCs w:val="24"/>
        </w:rPr>
      </w:pPr>
      <w:r>
        <w:rPr>
          <w:rFonts w:hint="eastAsia"/>
          <w:szCs w:val="24"/>
        </w:rPr>
        <w:t>（三）同一项目不可同时申报本措施第六条第（二）款和第（三）款的资助；不可同时申报本措施第九条第（二）款第1项与第2项的资助；不可同时申报本措施第十条第（一）款与第十一条第（二）款的资助；不可同时申报本措施第十二条第（二）款第1项与第2项的资助；不可同时申报本措施第十五条第1项与第2项的资助。</w:t>
      </w:r>
    </w:p>
    <w:p>
      <w:pPr>
        <w:ind w:firstLine="480"/>
        <w:rPr>
          <w:szCs w:val="24"/>
        </w:rPr>
      </w:pPr>
      <w:r>
        <w:rPr>
          <w:rFonts w:hint="eastAsia"/>
          <w:szCs w:val="24"/>
        </w:rPr>
        <w:t>（四）本措施中的营利性服务业企业，是指软件和信息技术服务业（国民经济行业大类代码64、65）、科学研究和技术服务业（国民经济行业大类代码73、74、75）、租赁和商务服务业（国民经济行业大类代码71、72）、居民服务、修理和其他服务业（国民经济行业大类代码80、81、82）等四类服务业企业，不包括数据中心企业，也不包括区属国资企业、社区股份公司。</w:t>
      </w:r>
    </w:p>
    <w:p>
      <w:pPr>
        <w:ind w:firstLine="480"/>
        <w:rPr>
          <w:szCs w:val="24"/>
        </w:rPr>
      </w:pPr>
      <w:r>
        <w:rPr>
          <w:rFonts w:hint="eastAsia"/>
          <w:szCs w:val="24"/>
        </w:rPr>
        <w:t>（五）坪山区企业在对口帮扶地区投资设立的企业均可享受本措施的政策，单个企业年度最高资助或奖励500万元。</w:t>
      </w:r>
    </w:p>
    <w:p>
      <w:pPr>
        <w:ind w:firstLine="480"/>
        <w:rPr>
          <w:szCs w:val="24"/>
        </w:rPr>
      </w:pPr>
      <w:r>
        <w:rPr>
          <w:rFonts w:hint="eastAsia"/>
          <w:szCs w:val="24"/>
        </w:rPr>
        <w:t>（六）本措施按《深圳市坪山区经济发展专项资金管理办法》（深坪府办规〔2023〕1号）流程审核。</w:t>
      </w:r>
    </w:p>
    <w:p>
      <w:pPr>
        <w:ind w:firstLine="480"/>
        <w:rPr>
          <w:szCs w:val="24"/>
        </w:rPr>
      </w:pPr>
      <w:r>
        <w:rPr>
          <w:rFonts w:hint="eastAsia"/>
          <w:szCs w:val="24"/>
        </w:rPr>
        <w:t>（七）本措施规定的“以上”“最高”“不超过”包含本数，规定的“以下”不包含本数，具体标注除外。</w:t>
      </w:r>
    </w:p>
    <w:p>
      <w:pPr>
        <w:ind w:firstLine="480"/>
        <w:rPr>
          <w:szCs w:val="24"/>
        </w:rPr>
      </w:pPr>
      <w:r>
        <w:rPr>
          <w:rFonts w:hint="eastAsia"/>
          <w:szCs w:val="24"/>
        </w:rPr>
        <w:t>（八）本措施尚未涵盖但对坪山区经济发展有重要影响的事项，采取“一事一议”方式给予支持。采取“一事一议”方式给予支持的，不再享受本措施同类型条款的资助。</w:t>
      </w:r>
    </w:p>
    <w:p>
      <w:pPr>
        <w:ind w:firstLine="480"/>
        <w:rPr>
          <w:szCs w:val="24"/>
        </w:rPr>
      </w:pPr>
      <w:r>
        <w:rPr>
          <w:rFonts w:hint="eastAsia"/>
          <w:szCs w:val="24"/>
        </w:rPr>
        <w:t>（九）本措施自2023年7月3日起施行，有效期至2025年12月31日，由坪山区人民政府授权区工业和信息化局负责解释。</w:t>
      </w:r>
    </w:p>
    <w:p>
      <w:pPr>
        <w:ind w:firstLine="420"/>
        <w:rPr>
          <w:sz w:val="21"/>
        </w:rPr>
      </w:pPr>
    </w:p>
    <w:bookmarkEnd w:id="277"/>
    <w:bookmarkEnd w:id="278"/>
    <w:bookmarkEnd w:id="279"/>
    <w:bookmarkEnd w:id="280"/>
    <w:bookmarkEnd w:id="281"/>
    <w:p>
      <w:pPr>
        <w:ind w:firstLine="420"/>
        <w:rPr>
          <w:sz w:val="21"/>
        </w:rPr>
      </w:pPr>
    </w:p>
    <w:p>
      <w:pPr>
        <w:ind w:firstLine="440"/>
        <w:rPr>
          <w:sz w:val="22"/>
          <w:szCs w:val="21"/>
        </w:rPr>
        <w:sectPr>
          <w:headerReference r:id="rId14" w:type="default"/>
          <w:pgSz w:w="11906" w:h="16838"/>
          <w:pgMar w:top="1440" w:right="1800" w:bottom="1440" w:left="1800" w:header="851" w:footer="992" w:gutter="0"/>
          <w:cols w:space="425" w:num="1"/>
          <w:docGrid w:type="lines" w:linePitch="312" w:charSpace="0"/>
        </w:sectPr>
      </w:pPr>
    </w:p>
    <w:p>
      <w:pPr>
        <w:pStyle w:val="4"/>
        <w:numPr>
          <w:ilvl w:val="255"/>
          <w:numId w:val="0"/>
        </w:numPr>
        <w:spacing w:before="0" w:after="0" w:line="360" w:lineRule="auto"/>
        <w:jc w:val="center"/>
        <w:rPr>
          <w:rFonts w:ascii="微软雅黑" w:hAnsi="微软雅黑" w:eastAsia="微软雅黑" w:cs="宋体"/>
          <w:kern w:val="0"/>
          <w:sz w:val="40"/>
          <w:szCs w:val="40"/>
        </w:rPr>
      </w:pPr>
      <w:bookmarkStart w:id="282" w:name="_Toc138949362"/>
      <w:bookmarkStart w:id="283" w:name="_Toc311055102"/>
      <w:bookmarkStart w:id="284" w:name="_Toc1781297231"/>
      <w:bookmarkStart w:id="285" w:name="_Toc130905507"/>
      <w:bookmarkStart w:id="286" w:name="_Toc280105031"/>
      <w:bookmarkStart w:id="287" w:name="_Toc76030960"/>
      <w:bookmarkStart w:id="288" w:name="_Toc20124"/>
      <w:bookmarkStart w:id="289" w:name="_Toc1429878491"/>
      <w:bookmarkStart w:id="290" w:name="_Toc74931576"/>
      <w:bookmarkStart w:id="291" w:name="_Toc72497343"/>
      <w:r>
        <w:rPr>
          <w:rFonts w:hint="eastAsia" w:ascii="微软雅黑" w:hAnsi="微软雅黑" w:eastAsia="微软雅黑" w:cs="宋体"/>
          <w:kern w:val="0"/>
          <w:sz w:val="40"/>
          <w:szCs w:val="40"/>
        </w:rPr>
        <w:t>第六部分 坪山区经济发展专项资金资助项目申报资料模板</w:t>
      </w:r>
      <w:bookmarkEnd w:id="282"/>
      <w:bookmarkEnd w:id="283"/>
      <w:bookmarkEnd w:id="284"/>
      <w:bookmarkEnd w:id="285"/>
      <w:bookmarkEnd w:id="286"/>
      <w:bookmarkEnd w:id="287"/>
      <w:bookmarkEnd w:id="288"/>
      <w:bookmarkEnd w:id="289"/>
    </w:p>
    <w:p>
      <w:pPr>
        <w:pStyle w:val="28"/>
        <w:spacing w:before="312" w:line="360" w:lineRule="auto"/>
        <w:outlineLvl w:val="2"/>
      </w:pPr>
      <w:bookmarkStart w:id="292" w:name="_Toc476460418"/>
      <w:bookmarkStart w:id="293" w:name="_Toc27442"/>
      <w:bookmarkStart w:id="294" w:name="_Toc56772636"/>
      <w:bookmarkStart w:id="295" w:name="_Toc1099639140"/>
      <w:bookmarkStart w:id="296" w:name="_Toc1734208696"/>
      <w:bookmarkStart w:id="297" w:name="_Toc130905508"/>
      <w:bookmarkStart w:id="298" w:name="_Toc138949363"/>
      <w:r>
        <w:rPr>
          <w:rFonts w:hint="eastAsia"/>
        </w:rPr>
        <w:t>（一）</w:t>
      </w:r>
      <w:bookmarkEnd w:id="290"/>
      <w:bookmarkEnd w:id="291"/>
      <w:bookmarkEnd w:id="292"/>
      <w:bookmarkEnd w:id="293"/>
      <w:bookmarkEnd w:id="294"/>
      <w:bookmarkEnd w:id="295"/>
      <w:bookmarkEnd w:id="296"/>
      <w:bookmarkStart w:id="299" w:name="OLE_LINK31"/>
      <w:r>
        <w:rPr>
          <w:rFonts w:hint="eastAsia"/>
        </w:rPr>
        <w:t>项目实施情况可行性研究报告提纲</w:t>
      </w:r>
      <w:bookmarkEnd w:id="297"/>
      <w:bookmarkEnd w:id="298"/>
    </w:p>
    <w:bookmarkEnd w:id="299"/>
    <w:p>
      <w:pPr>
        <w:ind w:left="480" w:leftChars="200" w:firstLine="0" w:firstLineChars="0"/>
        <w:rPr>
          <w:rFonts w:ascii="宋体" w:hAnsi="宋体" w:cs="宋体"/>
          <w:b/>
          <w:bCs/>
          <w:color w:val="000000"/>
          <w:spacing w:val="10"/>
          <w:szCs w:val="24"/>
        </w:rPr>
      </w:pPr>
      <w:r>
        <w:rPr>
          <w:rFonts w:hint="eastAsia" w:ascii="宋体" w:hAnsi="宋体" w:cs="宋体"/>
          <w:b/>
          <w:bCs/>
          <w:color w:val="000000"/>
          <w:spacing w:val="10"/>
          <w:szCs w:val="24"/>
        </w:rPr>
        <w:t>一、申报单位概况</w:t>
      </w:r>
    </w:p>
    <w:p>
      <w:pPr>
        <w:ind w:left="480" w:leftChars="200" w:firstLine="0" w:firstLineChars="0"/>
        <w:rPr>
          <w:rFonts w:ascii="宋体" w:hAnsi="宋体" w:cs="宋体"/>
          <w:b/>
          <w:bCs/>
          <w:color w:val="000000"/>
          <w:spacing w:val="10"/>
          <w:szCs w:val="24"/>
        </w:rPr>
      </w:pPr>
      <w:r>
        <w:rPr>
          <w:rFonts w:hint="eastAsia" w:ascii="宋体" w:hAnsi="宋体" w:cs="宋体"/>
          <w:b/>
          <w:bCs/>
          <w:color w:val="000000"/>
          <w:spacing w:val="10"/>
          <w:szCs w:val="24"/>
        </w:rPr>
        <w:t>二、项目概况</w:t>
      </w:r>
    </w:p>
    <w:p>
      <w:pPr>
        <w:ind w:left="480" w:leftChars="200" w:firstLine="0" w:firstLineChars="0"/>
        <w:rPr>
          <w:rFonts w:ascii="宋体" w:hAnsi="宋体" w:cs="宋体"/>
          <w:color w:val="000000"/>
          <w:szCs w:val="24"/>
        </w:rPr>
      </w:pPr>
      <w:r>
        <w:rPr>
          <w:rFonts w:hint="eastAsia" w:hAnsi="仿宋_GB2312" w:cs="仿宋_GB2312"/>
        </w:rPr>
        <w:t>1.</w:t>
      </w:r>
      <w:r>
        <w:rPr>
          <w:rFonts w:hint="eastAsia" w:ascii="宋体" w:hAnsi="宋体" w:cs="宋体"/>
          <w:color w:val="000000"/>
          <w:szCs w:val="24"/>
        </w:rPr>
        <w:t>概述</w:t>
      </w:r>
    </w:p>
    <w:p>
      <w:pPr>
        <w:ind w:left="480" w:leftChars="200" w:firstLine="0" w:firstLineChars="0"/>
        <w:rPr>
          <w:rFonts w:ascii="宋体" w:hAnsi="宋体" w:cs="宋体"/>
          <w:color w:val="000000"/>
          <w:szCs w:val="24"/>
        </w:rPr>
      </w:pPr>
      <w:r>
        <w:rPr>
          <w:rFonts w:hint="eastAsia" w:hAnsi="仿宋_GB2312" w:cs="仿宋_GB2312"/>
        </w:rPr>
        <w:t>2.</w:t>
      </w:r>
      <w:r>
        <w:rPr>
          <w:rFonts w:hint="eastAsia" w:ascii="宋体" w:hAnsi="宋体" w:cs="宋体"/>
          <w:color w:val="000000"/>
          <w:szCs w:val="24"/>
        </w:rPr>
        <w:t>项目建设规模及内容</w:t>
      </w:r>
    </w:p>
    <w:p>
      <w:pPr>
        <w:ind w:left="480" w:leftChars="200" w:firstLine="0" w:firstLineChars="0"/>
        <w:rPr>
          <w:rFonts w:ascii="宋体" w:hAnsi="宋体" w:cs="宋体"/>
          <w:color w:val="000000"/>
          <w:szCs w:val="24"/>
        </w:rPr>
      </w:pPr>
      <w:r>
        <w:rPr>
          <w:rFonts w:hint="eastAsia" w:hAnsi="仿宋_GB2312" w:cs="仿宋_GB2312"/>
        </w:rPr>
        <w:t>3.</w:t>
      </w:r>
      <w:r>
        <w:rPr>
          <w:rFonts w:hint="eastAsia" w:ascii="宋体" w:hAnsi="宋体" w:cs="宋体"/>
          <w:color w:val="000000"/>
          <w:szCs w:val="24"/>
        </w:rPr>
        <w:t>建设周期</w:t>
      </w:r>
    </w:p>
    <w:p>
      <w:pPr>
        <w:ind w:left="480" w:leftChars="200" w:firstLine="0" w:firstLineChars="0"/>
        <w:rPr>
          <w:rFonts w:ascii="宋体" w:hAnsi="宋体" w:cs="宋体"/>
          <w:b/>
          <w:bCs/>
          <w:color w:val="000000"/>
          <w:spacing w:val="10"/>
          <w:szCs w:val="24"/>
        </w:rPr>
      </w:pPr>
      <w:r>
        <w:rPr>
          <w:rFonts w:hint="eastAsia" w:ascii="宋体" w:hAnsi="宋体" w:cs="宋体"/>
          <w:b/>
          <w:bCs/>
          <w:color w:val="000000"/>
          <w:spacing w:val="10"/>
          <w:szCs w:val="24"/>
        </w:rPr>
        <w:t>三、项目背景及必要性</w:t>
      </w:r>
    </w:p>
    <w:p>
      <w:pPr>
        <w:ind w:left="480" w:leftChars="200" w:firstLine="0" w:firstLineChars="0"/>
        <w:rPr>
          <w:rFonts w:ascii="宋体" w:hAnsi="宋体" w:cs="宋体"/>
          <w:b/>
          <w:bCs/>
          <w:color w:val="000000"/>
          <w:spacing w:val="10"/>
          <w:szCs w:val="24"/>
        </w:rPr>
      </w:pPr>
      <w:r>
        <w:rPr>
          <w:rFonts w:hint="eastAsia" w:ascii="宋体" w:hAnsi="宋体" w:cs="宋体"/>
          <w:b/>
          <w:bCs/>
          <w:color w:val="000000"/>
          <w:spacing w:val="10"/>
          <w:szCs w:val="24"/>
        </w:rPr>
        <w:t>四、项目的技术特征及创新性分析</w:t>
      </w:r>
    </w:p>
    <w:p>
      <w:pPr>
        <w:ind w:left="480" w:leftChars="200" w:firstLine="0" w:firstLineChars="0"/>
        <w:rPr>
          <w:rFonts w:ascii="宋体" w:hAnsi="宋体" w:cs="宋体"/>
          <w:color w:val="000000"/>
          <w:szCs w:val="24"/>
        </w:rPr>
      </w:pPr>
      <w:r>
        <w:rPr>
          <w:rFonts w:hint="eastAsia" w:hAnsi="仿宋_GB2312" w:cs="仿宋_GB2312"/>
        </w:rPr>
        <w:t>1.</w:t>
      </w:r>
      <w:r>
        <w:rPr>
          <w:rFonts w:hint="eastAsia" w:ascii="宋体" w:hAnsi="宋体" w:cs="宋体"/>
          <w:color w:val="000000"/>
          <w:szCs w:val="24"/>
        </w:rPr>
        <w:t>已有技术基础</w:t>
      </w:r>
    </w:p>
    <w:p>
      <w:pPr>
        <w:ind w:left="480" w:leftChars="200" w:firstLine="0" w:firstLineChars="0"/>
        <w:rPr>
          <w:rFonts w:ascii="宋体" w:hAnsi="宋体" w:cs="宋体"/>
          <w:color w:val="000000"/>
          <w:szCs w:val="24"/>
        </w:rPr>
      </w:pPr>
      <w:r>
        <w:rPr>
          <w:rFonts w:hint="eastAsia" w:hAnsi="仿宋_GB2312" w:cs="仿宋_GB2312"/>
        </w:rPr>
        <w:t>2.</w:t>
      </w:r>
      <w:r>
        <w:rPr>
          <w:rFonts w:hint="eastAsia" w:ascii="宋体" w:hAnsi="宋体" w:cs="宋体"/>
          <w:color w:val="000000"/>
          <w:szCs w:val="24"/>
        </w:rPr>
        <w:t>本项目技术路线</w:t>
      </w:r>
    </w:p>
    <w:p>
      <w:pPr>
        <w:ind w:left="480" w:leftChars="200" w:firstLine="0" w:firstLineChars="0"/>
        <w:rPr>
          <w:rFonts w:ascii="宋体" w:hAnsi="宋体" w:cs="宋体"/>
          <w:color w:val="000000"/>
          <w:szCs w:val="24"/>
        </w:rPr>
      </w:pPr>
      <w:r>
        <w:rPr>
          <w:rFonts w:hint="eastAsia" w:hAnsi="仿宋_GB2312" w:cs="仿宋_GB2312"/>
        </w:rPr>
        <w:t>3.</w:t>
      </w:r>
      <w:r>
        <w:rPr>
          <w:rFonts w:hint="eastAsia" w:ascii="宋体" w:hAnsi="宋体" w:cs="宋体"/>
          <w:color w:val="000000"/>
          <w:szCs w:val="24"/>
        </w:rPr>
        <w:t>项目技术创新性和领先性</w:t>
      </w:r>
    </w:p>
    <w:p>
      <w:pPr>
        <w:ind w:left="480" w:leftChars="200" w:firstLine="0" w:firstLineChars="0"/>
        <w:rPr>
          <w:rFonts w:ascii="宋体" w:hAnsi="宋体" w:cs="宋体"/>
          <w:b/>
          <w:bCs/>
          <w:color w:val="000000"/>
          <w:spacing w:val="10"/>
          <w:szCs w:val="24"/>
        </w:rPr>
      </w:pPr>
      <w:r>
        <w:rPr>
          <w:rFonts w:hint="eastAsia" w:ascii="宋体" w:hAnsi="宋体" w:cs="宋体"/>
          <w:b/>
          <w:bCs/>
          <w:color w:val="000000"/>
          <w:spacing w:val="10"/>
          <w:szCs w:val="24"/>
        </w:rPr>
        <w:t>五、项目市场前景预测分析</w:t>
      </w:r>
    </w:p>
    <w:p>
      <w:pPr>
        <w:ind w:left="480" w:leftChars="200" w:firstLine="0" w:firstLineChars="0"/>
        <w:rPr>
          <w:rFonts w:ascii="宋体" w:hAnsi="宋体" w:cs="宋体"/>
          <w:b/>
          <w:bCs/>
          <w:color w:val="000000"/>
          <w:spacing w:val="10"/>
          <w:szCs w:val="24"/>
        </w:rPr>
      </w:pPr>
      <w:r>
        <w:rPr>
          <w:rFonts w:hint="eastAsia" w:ascii="宋体" w:hAnsi="宋体" w:cs="宋体"/>
          <w:b/>
          <w:bCs/>
          <w:color w:val="000000"/>
          <w:spacing w:val="10"/>
          <w:szCs w:val="24"/>
        </w:rPr>
        <w:t>六、项目预期目标</w:t>
      </w:r>
    </w:p>
    <w:p>
      <w:pPr>
        <w:ind w:left="480" w:leftChars="200" w:firstLine="0" w:firstLineChars="0"/>
        <w:rPr>
          <w:rFonts w:ascii="宋体" w:hAnsi="宋体" w:cs="宋体"/>
          <w:color w:val="000000"/>
          <w:szCs w:val="24"/>
        </w:rPr>
      </w:pPr>
      <w:r>
        <w:rPr>
          <w:rFonts w:hint="eastAsia" w:hAnsi="仿宋_GB2312" w:cs="仿宋_GB2312"/>
        </w:rPr>
        <w:t>1</w:t>
      </w:r>
      <w:r>
        <w:rPr>
          <w:rFonts w:hint="eastAsia" w:ascii="宋体" w:hAnsi="宋体" w:cs="宋体"/>
          <w:color w:val="000000"/>
          <w:szCs w:val="24"/>
        </w:rPr>
        <w:t>.项目社会效益</w:t>
      </w:r>
    </w:p>
    <w:p>
      <w:pPr>
        <w:ind w:left="480" w:leftChars="200" w:firstLine="0" w:firstLineChars="0"/>
        <w:rPr>
          <w:rFonts w:ascii="黑体" w:hAnsi="黑体" w:eastAsia="黑体"/>
          <w:b/>
          <w:bCs/>
          <w:kern w:val="44"/>
          <w:sz w:val="28"/>
          <w:szCs w:val="28"/>
        </w:rPr>
        <w:sectPr>
          <w:headerReference r:id="rId17" w:type="first"/>
          <w:footerReference r:id="rId19" w:type="first"/>
          <w:headerReference r:id="rId15" w:type="default"/>
          <w:headerReference r:id="rId16" w:type="even"/>
          <w:footerReference r:id="rId18" w:type="even"/>
          <w:pgSz w:w="11906" w:h="16838"/>
          <w:pgMar w:top="1440" w:right="1800" w:bottom="1440" w:left="1800" w:header="851" w:footer="992" w:gutter="0"/>
          <w:cols w:space="425" w:num="1"/>
          <w:docGrid w:type="lines" w:linePitch="312" w:charSpace="0"/>
        </w:sectPr>
      </w:pPr>
      <w:r>
        <w:rPr>
          <w:rFonts w:hint="eastAsia" w:hAnsi="仿宋_GB2312" w:cs="仿宋_GB2312"/>
        </w:rPr>
        <w:t>2</w:t>
      </w:r>
      <w:r>
        <w:rPr>
          <w:rFonts w:hint="eastAsia" w:ascii="宋体" w:hAnsi="宋体" w:cs="宋体"/>
          <w:color w:val="000000"/>
          <w:szCs w:val="24"/>
        </w:rPr>
        <w:t>.项目经济效益</w:t>
      </w:r>
      <w:bookmarkStart w:id="300" w:name="_Toc1744717"/>
      <w:bookmarkStart w:id="301" w:name="_Toc536000457"/>
      <w:bookmarkStart w:id="302" w:name="_Toc72497344"/>
    </w:p>
    <w:p>
      <w:pPr>
        <w:pStyle w:val="28"/>
        <w:spacing w:before="332" w:line="360" w:lineRule="auto"/>
        <w:outlineLvl w:val="2"/>
      </w:pPr>
      <w:bookmarkStart w:id="303" w:name="_Toc16640"/>
      <w:bookmarkStart w:id="304" w:name="_Toc1080549611"/>
      <w:bookmarkStart w:id="305" w:name="_Toc138949364"/>
      <w:bookmarkStart w:id="306" w:name="_Toc1523015861"/>
      <w:bookmarkStart w:id="307" w:name="_Toc130905509"/>
      <w:bookmarkStart w:id="308" w:name="_Toc74931577"/>
      <w:bookmarkStart w:id="309" w:name="_Toc1673278075"/>
      <w:bookmarkStart w:id="310" w:name="_Toc1999899541"/>
      <w:r>
        <w:rPr>
          <w:rFonts w:hint="eastAsia"/>
        </w:rPr>
        <w:t>（二）项目专项审计报告提纲</w:t>
      </w:r>
      <w:bookmarkEnd w:id="300"/>
      <w:bookmarkEnd w:id="301"/>
      <w:bookmarkEnd w:id="302"/>
      <w:bookmarkEnd w:id="303"/>
      <w:bookmarkEnd w:id="304"/>
      <w:bookmarkEnd w:id="305"/>
      <w:bookmarkEnd w:id="306"/>
      <w:bookmarkEnd w:id="307"/>
      <w:bookmarkEnd w:id="308"/>
      <w:bookmarkEnd w:id="309"/>
      <w:bookmarkEnd w:id="310"/>
    </w:p>
    <w:p>
      <w:pPr>
        <w:ind w:left="480" w:leftChars="197" w:firstLine="0" w:firstLineChars="0"/>
        <w:rPr>
          <w:rFonts w:ascii="宋体" w:hAnsi="宋体" w:cs="宋体"/>
          <w:b/>
          <w:bCs/>
          <w:color w:val="000000"/>
          <w:spacing w:val="10"/>
          <w:szCs w:val="24"/>
        </w:rPr>
      </w:pPr>
      <w:r>
        <w:rPr>
          <w:rFonts w:hint="eastAsia" w:ascii="宋体" w:hAnsi="宋体" w:cs="宋体"/>
          <w:b/>
          <w:bCs/>
          <w:color w:val="000000"/>
          <w:spacing w:val="10"/>
          <w:szCs w:val="24"/>
        </w:rPr>
        <w:t>一、管理层的责任</w:t>
      </w:r>
    </w:p>
    <w:p>
      <w:pPr>
        <w:ind w:left="480" w:leftChars="197" w:firstLine="0" w:firstLineChars="0"/>
        <w:rPr>
          <w:rFonts w:ascii="宋体" w:hAnsi="宋体" w:cs="宋体"/>
          <w:b/>
          <w:bCs/>
          <w:color w:val="000000"/>
          <w:spacing w:val="10"/>
          <w:szCs w:val="24"/>
        </w:rPr>
      </w:pPr>
      <w:r>
        <w:rPr>
          <w:rFonts w:hint="eastAsia" w:ascii="宋体" w:hAnsi="宋体" w:cs="宋体"/>
          <w:b/>
          <w:bCs/>
          <w:color w:val="000000"/>
          <w:spacing w:val="10"/>
          <w:szCs w:val="24"/>
        </w:rPr>
        <w:t>二、注册会计师的责任</w:t>
      </w:r>
    </w:p>
    <w:p>
      <w:pPr>
        <w:ind w:left="480" w:leftChars="197" w:firstLine="0" w:firstLineChars="0"/>
        <w:rPr>
          <w:rFonts w:ascii="宋体" w:hAnsi="宋体" w:cs="宋体"/>
          <w:b/>
          <w:bCs/>
          <w:color w:val="000000"/>
          <w:spacing w:val="10"/>
          <w:szCs w:val="24"/>
        </w:rPr>
      </w:pPr>
      <w:r>
        <w:rPr>
          <w:rFonts w:hint="eastAsia" w:ascii="宋体" w:hAnsi="宋体" w:cs="宋体"/>
          <w:b/>
          <w:bCs/>
          <w:color w:val="000000"/>
          <w:spacing w:val="10"/>
          <w:szCs w:val="24"/>
        </w:rPr>
        <w:t>三、公司基本情况</w:t>
      </w:r>
    </w:p>
    <w:p>
      <w:pPr>
        <w:ind w:left="480" w:leftChars="197" w:firstLine="0" w:firstLineChars="0"/>
        <w:rPr>
          <w:rFonts w:ascii="宋体" w:hAnsi="宋体" w:cs="宋体"/>
          <w:b/>
          <w:bCs/>
          <w:color w:val="000000"/>
          <w:spacing w:val="10"/>
          <w:szCs w:val="24"/>
        </w:rPr>
      </w:pPr>
      <w:r>
        <w:rPr>
          <w:rFonts w:hint="eastAsia" w:ascii="宋体" w:hAnsi="宋体" w:cs="宋体"/>
          <w:b/>
          <w:bCs/>
          <w:color w:val="000000"/>
          <w:spacing w:val="10"/>
          <w:szCs w:val="24"/>
        </w:rPr>
        <w:t>四、项目基本情况</w:t>
      </w:r>
    </w:p>
    <w:p>
      <w:pPr>
        <w:ind w:left="480" w:leftChars="197" w:firstLine="0" w:firstLineChars="0"/>
        <w:rPr>
          <w:rFonts w:ascii="宋体" w:hAnsi="宋体" w:cs="宋体"/>
          <w:color w:val="000000"/>
          <w:szCs w:val="24"/>
        </w:rPr>
      </w:pPr>
      <w:r>
        <w:rPr>
          <w:rFonts w:hint="eastAsia" w:ascii="宋体" w:hAnsi="宋体" w:cs="宋体"/>
          <w:color w:val="000000"/>
          <w:szCs w:val="24"/>
        </w:rPr>
        <w:t>（一）项目基本情况</w:t>
      </w:r>
    </w:p>
    <w:p>
      <w:pPr>
        <w:ind w:left="480" w:leftChars="197" w:firstLine="0" w:firstLineChars="0"/>
        <w:rPr>
          <w:rFonts w:ascii="宋体" w:hAnsi="宋体" w:cs="宋体"/>
          <w:color w:val="000000"/>
          <w:szCs w:val="24"/>
        </w:rPr>
      </w:pPr>
      <w:r>
        <w:rPr>
          <w:rFonts w:hint="eastAsia" w:ascii="宋体" w:hAnsi="宋体" w:cs="宋体"/>
          <w:color w:val="000000"/>
          <w:szCs w:val="24"/>
        </w:rPr>
        <w:t>（二）项目已完成投资情况</w:t>
      </w:r>
    </w:p>
    <w:p>
      <w:pPr>
        <w:ind w:left="480" w:leftChars="197" w:firstLine="0" w:firstLineChars="0"/>
        <w:rPr>
          <w:rFonts w:ascii="宋体" w:hAnsi="宋体" w:cs="宋体"/>
          <w:color w:val="000000"/>
          <w:szCs w:val="24"/>
        </w:rPr>
      </w:pPr>
      <w:r>
        <w:rPr>
          <w:rFonts w:hint="eastAsia" w:ascii="宋体" w:hAnsi="宋体" w:cs="宋体"/>
          <w:color w:val="000000"/>
          <w:szCs w:val="24"/>
        </w:rPr>
        <w:t>项目建设期为</w:t>
      </w:r>
      <w:r>
        <w:rPr>
          <w:rFonts w:hint="eastAsia" w:ascii="宋体" w:hAnsi="宋体" w:cs="宋体"/>
          <w:color w:val="000000"/>
          <w:szCs w:val="24"/>
          <w:u w:val="single"/>
        </w:rPr>
        <w:t xml:space="preserve">     </w:t>
      </w:r>
      <w:r>
        <w:rPr>
          <w:rFonts w:hint="eastAsia" w:ascii="宋体" w:hAnsi="宋体" w:cs="宋体"/>
          <w:color w:val="000000"/>
          <w:szCs w:val="24"/>
        </w:rPr>
        <w:t>年</w:t>
      </w:r>
      <w:r>
        <w:rPr>
          <w:rFonts w:hint="eastAsia" w:ascii="宋体" w:hAnsi="宋体" w:cs="宋体"/>
          <w:color w:val="000000"/>
          <w:szCs w:val="24"/>
          <w:u w:val="single"/>
        </w:rPr>
        <w:t xml:space="preserve">    </w:t>
      </w:r>
      <w:r>
        <w:rPr>
          <w:rFonts w:hint="eastAsia" w:ascii="宋体" w:hAnsi="宋体" w:cs="宋体"/>
          <w:color w:val="000000"/>
          <w:szCs w:val="24"/>
        </w:rPr>
        <w:t>月至</w:t>
      </w:r>
      <w:r>
        <w:rPr>
          <w:rFonts w:hint="eastAsia" w:ascii="宋体" w:hAnsi="宋体" w:cs="宋体"/>
          <w:color w:val="000000"/>
          <w:szCs w:val="24"/>
          <w:u w:val="single"/>
        </w:rPr>
        <w:t xml:space="preserve">     </w:t>
      </w:r>
      <w:r>
        <w:rPr>
          <w:rFonts w:hint="eastAsia" w:ascii="宋体" w:hAnsi="宋体" w:cs="宋体"/>
          <w:color w:val="000000"/>
          <w:szCs w:val="24"/>
        </w:rPr>
        <w:t>年</w:t>
      </w:r>
      <w:r>
        <w:rPr>
          <w:rFonts w:hint="eastAsia" w:ascii="宋体" w:hAnsi="宋体" w:cs="宋体"/>
          <w:color w:val="000000"/>
          <w:szCs w:val="24"/>
          <w:u w:val="single"/>
        </w:rPr>
        <w:t xml:space="preserve">      </w:t>
      </w:r>
      <w:r>
        <w:rPr>
          <w:rFonts w:hint="eastAsia" w:ascii="宋体" w:hAnsi="宋体" w:cs="宋体"/>
          <w:color w:val="000000"/>
          <w:szCs w:val="24"/>
        </w:rPr>
        <w:t>月，已完成投资</w:t>
      </w:r>
      <w:r>
        <w:rPr>
          <w:rFonts w:hint="eastAsia" w:ascii="宋体" w:hAnsi="宋体" w:cs="宋体"/>
          <w:color w:val="000000"/>
          <w:szCs w:val="24"/>
          <w:u w:val="single"/>
        </w:rPr>
        <w:t xml:space="preserve">      </w:t>
      </w:r>
      <w:r>
        <w:rPr>
          <w:rFonts w:hint="eastAsia" w:ascii="宋体" w:hAnsi="宋体" w:cs="宋体"/>
          <w:color w:val="000000"/>
          <w:szCs w:val="24"/>
        </w:rPr>
        <w:t>万元；其中，完成固定资产投资</w:t>
      </w:r>
      <w:r>
        <w:rPr>
          <w:rFonts w:hint="eastAsia" w:ascii="宋体" w:hAnsi="宋体" w:cs="宋体"/>
          <w:color w:val="000000"/>
          <w:szCs w:val="24"/>
          <w:u w:val="single"/>
        </w:rPr>
        <w:t xml:space="preserve">    </w:t>
      </w:r>
      <w:r>
        <w:rPr>
          <w:rFonts w:hint="eastAsia" w:ascii="宋体" w:hAnsi="宋体" w:cs="宋体"/>
          <w:color w:val="000000"/>
          <w:szCs w:val="24"/>
        </w:rPr>
        <w:t>万元。</w:t>
      </w:r>
    </w:p>
    <w:p>
      <w:pPr>
        <w:ind w:left="480" w:leftChars="197" w:firstLine="0" w:firstLineChars="0"/>
        <w:rPr>
          <w:rFonts w:ascii="宋体" w:hAnsi="宋体" w:cs="宋体"/>
          <w:color w:val="000000"/>
          <w:szCs w:val="24"/>
        </w:rPr>
      </w:pPr>
      <w:r>
        <w:rPr>
          <w:rFonts w:hint="eastAsia" w:ascii="宋体" w:hAnsi="宋体" w:cs="宋体"/>
          <w:color w:val="000000"/>
          <w:szCs w:val="24"/>
        </w:rPr>
        <w:t>其中，</w:t>
      </w:r>
      <w:r>
        <w:rPr>
          <w:rFonts w:hint="eastAsia" w:hAnsi="仿宋_GB2312" w:cs="仿宋_GB2312"/>
        </w:rPr>
        <w:t>202</w:t>
      </w:r>
      <w:r>
        <w:rPr>
          <w:rFonts w:hAnsi="仿宋_GB2312" w:cs="仿宋_GB2312"/>
        </w:rPr>
        <w:t>2</w:t>
      </w:r>
      <w:r>
        <w:rPr>
          <w:rFonts w:hint="eastAsia" w:ascii="宋体" w:hAnsi="宋体" w:cs="宋体"/>
          <w:color w:val="000000"/>
          <w:szCs w:val="24"/>
        </w:rPr>
        <w:t>年度，项目已完成投资</w:t>
      </w:r>
      <w:r>
        <w:rPr>
          <w:rFonts w:hint="eastAsia" w:ascii="宋体" w:hAnsi="宋体" w:cs="宋体"/>
          <w:color w:val="000000"/>
          <w:szCs w:val="24"/>
          <w:u w:val="single"/>
        </w:rPr>
        <w:t xml:space="preserve">      </w:t>
      </w:r>
      <w:r>
        <w:rPr>
          <w:rFonts w:hint="eastAsia" w:ascii="宋体" w:hAnsi="宋体" w:cs="宋体"/>
          <w:color w:val="000000"/>
          <w:szCs w:val="24"/>
        </w:rPr>
        <w:t>万元；其中，完成固定资产投资</w:t>
      </w:r>
      <w:r>
        <w:rPr>
          <w:rFonts w:hint="eastAsia" w:ascii="宋体" w:hAnsi="宋体" w:cs="宋体"/>
          <w:color w:val="000000"/>
          <w:szCs w:val="24"/>
          <w:u w:val="single"/>
        </w:rPr>
        <w:t xml:space="preserve">    </w:t>
      </w:r>
      <w:r>
        <w:rPr>
          <w:rFonts w:hint="eastAsia" w:ascii="宋体" w:hAnsi="宋体" w:cs="宋体"/>
          <w:color w:val="000000"/>
          <w:szCs w:val="24"/>
        </w:rPr>
        <w:t>万元，完成设备投资</w:t>
      </w:r>
      <w:r>
        <w:rPr>
          <w:rFonts w:hint="eastAsia" w:ascii="宋体" w:hAnsi="宋体" w:cs="宋体"/>
          <w:color w:val="000000"/>
          <w:szCs w:val="24"/>
          <w:u w:val="single"/>
        </w:rPr>
        <w:t xml:space="preserve">      </w:t>
      </w:r>
      <w:r>
        <w:rPr>
          <w:rFonts w:hint="eastAsia" w:ascii="宋体" w:hAnsi="宋体" w:cs="宋体"/>
          <w:color w:val="000000"/>
          <w:szCs w:val="24"/>
        </w:rPr>
        <w:t>万元。</w:t>
      </w:r>
    </w:p>
    <w:p>
      <w:pPr>
        <w:ind w:left="480" w:leftChars="197" w:firstLine="0" w:firstLineChars="0"/>
        <w:rPr>
          <w:rFonts w:ascii="宋体" w:hAnsi="宋体" w:cs="宋体"/>
          <w:b/>
          <w:bCs/>
          <w:color w:val="000000"/>
          <w:spacing w:val="10"/>
          <w:szCs w:val="24"/>
        </w:rPr>
      </w:pPr>
      <w:r>
        <w:rPr>
          <w:rFonts w:hint="eastAsia" w:ascii="宋体" w:hAnsi="宋体" w:cs="宋体"/>
          <w:b/>
          <w:bCs/>
          <w:color w:val="000000"/>
          <w:spacing w:val="10"/>
          <w:szCs w:val="24"/>
        </w:rPr>
        <w:t>五、项目实施后经济效益及社会效益</w:t>
      </w:r>
    </w:p>
    <w:p>
      <w:pPr>
        <w:ind w:left="480" w:leftChars="197" w:firstLine="0" w:firstLineChars="0"/>
        <w:rPr>
          <w:rFonts w:ascii="宋体" w:hAnsi="宋体" w:cs="宋体"/>
          <w:color w:val="000000"/>
          <w:szCs w:val="24"/>
        </w:rPr>
      </w:pPr>
    </w:p>
    <w:p>
      <w:pPr>
        <w:ind w:left="480" w:leftChars="197" w:firstLine="0" w:firstLineChars="0"/>
        <w:rPr>
          <w:rFonts w:ascii="宋体" w:hAnsi="宋体" w:cs="宋体"/>
          <w:color w:val="000000"/>
          <w:szCs w:val="24"/>
        </w:rPr>
        <w:sectPr>
          <w:headerReference r:id="rId20" w:type="default"/>
          <w:pgSz w:w="11905" w:h="16838"/>
          <w:pgMar w:top="1440" w:right="1797" w:bottom="1440" w:left="1797" w:header="850" w:footer="992" w:gutter="0"/>
          <w:cols w:space="0" w:num="1"/>
          <w:docGrid w:type="linesAndChars" w:linePitch="332" w:charSpace="909"/>
        </w:sectPr>
      </w:pPr>
      <w:r>
        <w:rPr>
          <w:rFonts w:hint="eastAsia" w:ascii="宋体" w:hAnsi="宋体" w:cs="宋体"/>
          <w:szCs w:val="24"/>
        </w:rPr>
        <w:t>附表：项目投入明细清单</w:t>
      </w:r>
    </w:p>
    <w:p>
      <w:pPr>
        <w:ind w:firstLine="8640" w:firstLineChars="2700"/>
        <w:rPr>
          <w:b/>
          <w:bCs/>
          <w:sz w:val="32"/>
          <w:szCs w:val="32"/>
        </w:rPr>
      </w:pPr>
      <w:r>
        <w:rPr>
          <w:rFonts w:hint="eastAsia"/>
          <w:b/>
          <w:bCs/>
          <w:sz w:val="32"/>
          <w:szCs w:val="32"/>
        </w:rPr>
        <w:t>附表：项目投入明细清单</w:t>
      </w:r>
    </w:p>
    <w:p>
      <w:pPr>
        <w:ind w:firstLine="482"/>
        <w:jc w:val="center"/>
      </w:pPr>
      <w:r>
        <w:rPr>
          <w:rFonts w:hint="eastAsia" w:ascii="宋体" w:hAnsi="宋体" w:cs="宋体"/>
          <w:kern w:val="0"/>
          <w:szCs w:val="24"/>
        </w:rPr>
        <w:t>（固定资产及设备投资实施时间：</w:t>
      </w:r>
      <w:r>
        <w:rPr>
          <w:rFonts w:hint="eastAsia" w:hAnsi="仿宋_GB2312" w:cs="仿宋_GB2312"/>
        </w:rPr>
        <w:t>202</w:t>
      </w:r>
      <w:r>
        <w:rPr>
          <w:rFonts w:hAnsi="仿宋_GB2312" w:cs="仿宋_GB2312"/>
        </w:rPr>
        <w:t>2</w:t>
      </w:r>
      <w:r>
        <w:rPr>
          <w:rFonts w:hint="eastAsia" w:ascii="宋体" w:hAnsi="宋体" w:cs="宋体"/>
          <w:kern w:val="0"/>
          <w:szCs w:val="24"/>
        </w:rPr>
        <w:t>年</w:t>
      </w:r>
      <w:r>
        <w:rPr>
          <w:rFonts w:hint="eastAsia" w:hAnsi="仿宋_GB2312" w:cs="仿宋_GB2312"/>
        </w:rPr>
        <w:t>1</w:t>
      </w:r>
      <w:r>
        <w:rPr>
          <w:rFonts w:ascii="宋体" w:hAnsi="宋体" w:cs="宋体"/>
          <w:kern w:val="0"/>
          <w:szCs w:val="24"/>
        </w:rPr>
        <w:t>月</w:t>
      </w:r>
      <w:r>
        <w:rPr>
          <w:rFonts w:hint="eastAsia" w:hAnsi="仿宋_GB2312" w:cs="仿宋_GB2312"/>
        </w:rPr>
        <w:t>1</w:t>
      </w:r>
      <w:r>
        <w:rPr>
          <w:rFonts w:ascii="宋体" w:hAnsi="宋体" w:cs="宋体"/>
          <w:kern w:val="0"/>
          <w:szCs w:val="24"/>
        </w:rPr>
        <w:t>日至</w:t>
      </w:r>
      <w:r>
        <w:rPr>
          <w:rFonts w:hint="eastAsia" w:hAnsi="仿宋_GB2312" w:cs="仿宋_GB2312"/>
        </w:rPr>
        <w:t>202</w:t>
      </w:r>
      <w:r>
        <w:rPr>
          <w:rFonts w:hAnsi="仿宋_GB2312" w:cs="仿宋_GB2312"/>
        </w:rPr>
        <w:t>2</w:t>
      </w:r>
      <w:r>
        <w:rPr>
          <w:rFonts w:hint="eastAsia" w:ascii="宋体" w:hAnsi="宋体" w:cs="宋体"/>
          <w:kern w:val="0"/>
          <w:szCs w:val="24"/>
        </w:rPr>
        <w:t>年</w:t>
      </w:r>
      <w:r>
        <w:rPr>
          <w:rFonts w:hint="eastAsia" w:hAnsi="仿宋_GB2312" w:cs="仿宋_GB2312"/>
        </w:rPr>
        <w:t>12</w:t>
      </w:r>
      <w:r>
        <w:rPr>
          <w:rFonts w:ascii="宋体" w:hAnsi="宋体" w:cs="宋体"/>
          <w:kern w:val="0"/>
          <w:szCs w:val="24"/>
        </w:rPr>
        <w:t>月</w:t>
      </w:r>
      <w:r>
        <w:rPr>
          <w:rFonts w:hint="eastAsia" w:hAnsi="仿宋_GB2312" w:cs="仿宋_GB2312"/>
        </w:rPr>
        <w:t>31</w:t>
      </w:r>
      <w:r>
        <w:rPr>
          <w:rFonts w:ascii="宋体" w:hAnsi="宋体" w:cs="宋体"/>
          <w:kern w:val="0"/>
          <w:szCs w:val="24"/>
        </w:rPr>
        <w:t>日）</w:t>
      </w:r>
    </w:p>
    <w:tbl>
      <w:tblPr>
        <w:tblStyle w:val="22"/>
        <w:tblW w:w="22199" w:type="dxa"/>
        <w:tblInd w:w="0" w:type="dxa"/>
        <w:tblLayout w:type="fixed"/>
        <w:tblCellMar>
          <w:top w:w="0" w:type="dxa"/>
          <w:left w:w="108" w:type="dxa"/>
          <w:bottom w:w="0" w:type="dxa"/>
          <w:right w:w="108" w:type="dxa"/>
        </w:tblCellMar>
      </w:tblPr>
      <w:tblGrid>
        <w:gridCol w:w="1268"/>
        <w:gridCol w:w="6"/>
        <w:gridCol w:w="1596"/>
        <w:gridCol w:w="1140"/>
        <w:gridCol w:w="960"/>
        <w:gridCol w:w="308"/>
        <w:gridCol w:w="374"/>
        <w:gridCol w:w="925"/>
        <w:gridCol w:w="682"/>
        <w:gridCol w:w="682"/>
        <w:gridCol w:w="682"/>
        <w:gridCol w:w="682"/>
        <w:gridCol w:w="925"/>
        <w:gridCol w:w="682"/>
        <w:gridCol w:w="691"/>
        <w:gridCol w:w="682"/>
        <w:gridCol w:w="586"/>
        <w:gridCol w:w="96"/>
        <w:gridCol w:w="682"/>
        <w:gridCol w:w="682"/>
        <w:gridCol w:w="682"/>
        <w:gridCol w:w="682"/>
        <w:gridCol w:w="1268"/>
        <w:gridCol w:w="1268"/>
        <w:gridCol w:w="1268"/>
        <w:gridCol w:w="1427"/>
        <w:gridCol w:w="1273"/>
      </w:tblGrid>
      <w:tr>
        <w:tblPrEx>
          <w:tblCellMar>
            <w:top w:w="0" w:type="dxa"/>
            <w:left w:w="108" w:type="dxa"/>
            <w:bottom w:w="0" w:type="dxa"/>
            <w:right w:w="108" w:type="dxa"/>
          </w:tblCellMar>
        </w:tblPrEx>
        <w:trPr>
          <w:trHeight w:val="540" w:hRule="atLeast"/>
        </w:trPr>
        <w:tc>
          <w:tcPr>
            <w:tcW w:w="1268" w:type="dxa"/>
            <w:tcBorders>
              <w:top w:val="nil"/>
              <w:left w:val="nil"/>
              <w:bottom w:val="nil"/>
              <w:right w:val="nil"/>
            </w:tcBorders>
          </w:tcPr>
          <w:p>
            <w:pPr>
              <w:widowControl/>
              <w:spacing w:line="240" w:lineRule="auto"/>
              <w:ind w:firstLine="482"/>
              <w:jc w:val="left"/>
              <w:rPr>
                <w:rFonts w:ascii="黑体" w:hAnsi="黑体" w:eastAsia="黑体" w:cs="宋体"/>
                <w:color w:val="000000"/>
                <w:kern w:val="0"/>
                <w:szCs w:val="24"/>
              </w:rPr>
            </w:pPr>
          </w:p>
        </w:tc>
        <w:tc>
          <w:tcPr>
            <w:tcW w:w="20931" w:type="dxa"/>
            <w:gridSpan w:val="26"/>
            <w:tcBorders>
              <w:top w:val="nil"/>
              <w:left w:val="nil"/>
              <w:bottom w:val="nil"/>
              <w:right w:val="nil"/>
            </w:tcBorders>
            <w:vAlign w:val="center"/>
          </w:tcPr>
          <w:p>
            <w:pPr>
              <w:widowControl/>
              <w:spacing w:line="240" w:lineRule="auto"/>
              <w:ind w:firstLine="482"/>
              <w:jc w:val="left"/>
              <w:rPr>
                <w:rFonts w:ascii="黑体" w:hAnsi="黑体" w:eastAsia="黑体" w:cs="宋体"/>
                <w:color w:val="000000"/>
                <w:kern w:val="0"/>
                <w:szCs w:val="24"/>
              </w:rPr>
            </w:pPr>
            <w:r>
              <w:rPr>
                <w:rFonts w:hint="eastAsia" w:ascii="黑体" w:hAnsi="黑体" w:eastAsia="黑体" w:cs="宋体"/>
                <w:color w:val="000000"/>
                <w:kern w:val="0"/>
                <w:szCs w:val="24"/>
              </w:rPr>
              <w:t>项目实施单位：</w:t>
            </w:r>
          </w:p>
        </w:tc>
      </w:tr>
      <w:tr>
        <w:tblPrEx>
          <w:tblCellMar>
            <w:top w:w="0" w:type="dxa"/>
            <w:left w:w="108" w:type="dxa"/>
            <w:bottom w:w="0" w:type="dxa"/>
            <w:right w:w="108" w:type="dxa"/>
          </w:tblCellMar>
        </w:tblPrEx>
        <w:trPr>
          <w:trHeight w:val="540" w:hRule="atLeast"/>
        </w:trPr>
        <w:tc>
          <w:tcPr>
            <w:tcW w:w="1268" w:type="dxa"/>
            <w:tcBorders>
              <w:top w:val="nil"/>
              <w:left w:val="nil"/>
              <w:bottom w:val="single" w:color="auto" w:sz="4" w:space="0"/>
              <w:right w:val="nil"/>
            </w:tcBorders>
          </w:tcPr>
          <w:p>
            <w:pPr>
              <w:widowControl/>
              <w:spacing w:line="240" w:lineRule="auto"/>
              <w:ind w:firstLine="482"/>
              <w:jc w:val="left"/>
              <w:rPr>
                <w:rFonts w:ascii="黑体" w:hAnsi="黑体" w:eastAsia="黑体" w:cs="宋体"/>
                <w:color w:val="000000"/>
                <w:kern w:val="0"/>
                <w:szCs w:val="24"/>
              </w:rPr>
            </w:pPr>
          </w:p>
        </w:tc>
        <w:tc>
          <w:tcPr>
            <w:tcW w:w="20931" w:type="dxa"/>
            <w:gridSpan w:val="26"/>
            <w:tcBorders>
              <w:top w:val="nil"/>
              <w:left w:val="nil"/>
              <w:bottom w:val="single" w:color="auto" w:sz="4" w:space="0"/>
              <w:right w:val="nil"/>
            </w:tcBorders>
            <w:vAlign w:val="center"/>
          </w:tcPr>
          <w:p>
            <w:pPr>
              <w:widowControl/>
              <w:spacing w:line="240" w:lineRule="auto"/>
              <w:ind w:firstLine="482"/>
              <w:jc w:val="left"/>
              <w:rPr>
                <w:rFonts w:ascii="黑体" w:hAnsi="黑体" w:eastAsia="黑体" w:cs="宋体"/>
                <w:color w:val="000000"/>
                <w:kern w:val="0"/>
                <w:szCs w:val="24"/>
              </w:rPr>
            </w:pPr>
            <w:r>
              <w:rPr>
                <w:rFonts w:hint="eastAsia" w:ascii="黑体" w:hAnsi="黑体" w:eastAsia="黑体" w:cs="宋体"/>
                <w:color w:val="000000"/>
                <w:kern w:val="0"/>
                <w:szCs w:val="24"/>
              </w:rPr>
              <w:t>单位：人民币元</w:t>
            </w:r>
          </w:p>
        </w:tc>
      </w:tr>
      <w:tr>
        <w:tblPrEx>
          <w:tblCellMar>
            <w:top w:w="0" w:type="dxa"/>
            <w:left w:w="108" w:type="dxa"/>
            <w:bottom w:w="0" w:type="dxa"/>
            <w:right w:w="108" w:type="dxa"/>
          </w:tblCellMar>
        </w:tblPrEx>
        <w:trPr>
          <w:trHeight w:val="642" w:hRule="atLeast"/>
        </w:trPr>
        <w:tc>
          <w:tcPr>
            <w:tcW w:w="1274" w:type="dxa"/>
            <w:gridSpan w:val="2"/>
            <w:vMerge w:val="restar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240" w:firstLineChars="100"/>
              <w:rPr>
                <w:rFonts w:ascii="黑体" w:hAnsi="黑体" w:eastAsia="黑体" w:cs="宋体"/>
                <w:color w:val="000000"/>
                <w:kern w:val="0"/>
                <w:szCs w:val="24"/>
              </w:rPr>
            </w:pPr>
            <w:r>
              <w:rPr>
                <w:rFonts w:hint="eastAsia" w:ascii="黑体" w:hAnsi="黑体" w:eastAsia="黑体" w:cs="宋体"/>
                <w:color w:val="000000"/>
                <w:kern w:val="0"/>
                <w:szCs w:val="24"/>
              </w:rPr>
              <w:t>序号</w:t>
            </w:r>
          </w:p>
        </w:tc>
        <w:tc>
          <w:tcPr>
            <w:tcW w:w="10329" w:type="dxa"/>
            <w:gridSpan w:val="13"/>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562"/>
              <w:jc w:val="center"/>
              <w:rPr>
                <w:rFonts w:ascii="黑体" w:hAnsi="黑体" w:eastAsia="黑体" w:cs="黑体"/>
                <w:kern w:val="0"/>
                <w:sz w:val="28"/>
                <w:szCs w:val="28"/>
              </w:rPr>
            </w:pPr>
            <w:r>
              <w:rPr>
                <w:rFonts w:hint="eastAsia" w:ascii="黑体" w:hAnsi="黑体" w:eastAsia="黑体" w:cs="黑体"/>
                <w:kern w:val="0"/>
                <w:sz w:val="28"/>
                <w:szCs w:val="28"/>
              </w:rPr>
              <w:t>设备情况</w:t>
            </w:r>
          </w:p>
        </w:tc>
        <w:tc>
          <w:tcPr>
            <w:tcW w:w="1268" w:type="dxa"/>
            <w:gridSpan w:val="2"/>
            <w:tcBorders>
              <w:top w:val="single" w:color="auto" w:sz="4" w:space="0"/>
              <w:left w:val="single" w:color="auto" w:sz="4" w:space="0"/>
              <w:bottom w:val="single" w:color="auto" w:sz="4" w:space="0"/>
              <w:right w:val="single" w:color="auto" w:sz="4" w:space="0"/>
            </w:tcBorders>
            <w:shd w:val="clear" w:color="auto" w:fill="BEBEBE"/>
          </w:tcPr>
          <w:p>
            <w:pPr>
              <w:widowControl/>
              <w:spacing w:line="240" w:lineRule="auto"/>
              <w:ind w:firstLine="562"/>
              <w:jc w:val="center"/>
              <w:rPr>
                <w:rFonts w:ascii="黑体" w:hAnsi="黑体" w:eastAsia="黑体" w:cs="黑体"/>
                <w:kern w:val="0"/>
                <w:sz w:val="28"/>
                <w:szCs w:val="28"/>
              </w:rPr>
            </w:pPr>
          </w:p>
        </w:tc>
        <w:tc>
          <w:tcPr>
            <w:tcW w:w="8055" w:type="dxa"/>
            <w:gridSpan w:val="9"/>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562"/>
              <w:jc w:val="center"/>
              <w:rPr>
                <w:rFonts w:ascii="黑体" w:hAnsi="黑体" w:eastAsia="黑体" w:cs="黑体"/>
                <w:kern w:val="0"/>
                <w:sz w:val="28"/>
                <w:szCs w:val="28"/>
              </w:rPr>
            </w:pPr>
            <w:r>
              <w:rPr>
                <w:rFonts w:hint="eastAsia" w:ascii="黑体" w:hAnsi="黑体" w:eastAsia="黑体" w:cs="黑体"/>
                <w:kern w:val="0"/>
                <w:sz w:val="28"/>
                <w:szCs w:val="28"/>
              </w:rPr>
              <w:t>凭证情况</w:t>
            </w:r>
          </w:p>
        </w:tc>
        <w:tc>
          <w:tcPr>
            <w:tcW w:w="1273"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黑体"/>
                <w:kern w:val="0"/>
                <w:sz w:val="20"/>
                <w:szCs w:val="20"/>
              </w:rPr>
            </w:pPr>
            <w:r>
              <w:rPr>
                <w:rFonts w:hint="eastAsia" w:ascii="黑体" w:hAnsi="黑体" w:eastAsia="黑体" w:cs="黑体"/>
                <w:kern w:val="0"/>
                <w:sz w:val="20"/>
                <w:szCs w:val="20"/>
              </w:rPr>
              <w:t>投资项目投入申报情况</w:t>
            </w:r>
          </w:p>
        </w:tc>
      </w:tr>
      <w:tr>
        <w:tblPrEx>
          <w:tblCellMar>
            <w:top w:w="0" w:type="dxa"/>
            <w:left w:w="108" w:type="dxa"/>
            <w:bottom w:w="0" w:type="dxa"/>
            <w:right w:w="108" w:type="dxa"/>
          </w:tblCellMar>
        </w:tblPrEx>
        <w:trPr>
          <w:trHeight w:val="1062" w:hRule="atLeast"/>
        </w:trPr>
        <w:tc>
          <w:tcPr>
            <w:tcW w:w="1274" w:type="dxa"/>
            <w:gridSpan w:val="2"/>
            <w:vMerge w:val="continue"/>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482"/>
              <w:jc w:val="center"/>
              <w:rPr>
                <w:rFonts w:ascii="黑体" w:hAnsi="黑体" w:eastAsia="黑体" w:cs="宋体"/>
                <w:color w:val="000000"/>
                <w:kern w:val="0"/>
                <w:szCs w:val="24"/>
              </w:rPr>
            </w:pPr>
          </w:p>
        </w:tc>
        <w:tc>
          <w:tcPr>
            <w:tcW w:w="1596"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240" w:firstLineChars="100"/>
              <w:rPr>
                <w:rFonts w:ascii="黑体" w:hAnsi="黑体" w:eastAsia="黑体" w:cs="宋体"/>
                <w:color w:val="000000"/>
                <w:kern w:val="0"/>
                <w:szCs w:val="24"/>
              </w:rPr>
            </w:pPr>
            <w:r>
              <w:rPr>
                <w:rFonts w:hint="eastAsia" w:ascii="黑体" w:hAnsi="黑体" w:eastAsia="黑体" w:cs="宋体"/>
                <w:color w:val="000000"/>
                <w:kern w:val="0"/>
                <w:szCs w:val="24"/>
              </w:rPr>
              <w:t>费用名称</w:t>
            </w:r>
          </w:p>
        </w:tc>
        <w:tc>
          <w:tcPr>
            <w:tcW w:w="1140"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宋体"/>
                <w:kern w:val="0"/>
                <w:szCs w:val="24"/>
              </w:rPr>
            </w:pPr>
            <w:r>
              <w:rPr>
                <w:rFonts w:hint="eastAsia" w:ascii="黑体" w:hAnsi="黑体" w:eastAsia="黑体" w:cs="宋体"/>
                <w:kern w:val="0"/>
                <w:szCs w:val="24"/>
              </w:rPr>
              <w:t>设备编号（企业自填、可与企业资产清单编号一致）</w:t>
            </w:r>
          </w:p>
        </w:tc>
        <w:tc>
          <w:tcPr>
            <w:tcW w:w="960"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宋体"/>
                <w:color w:val="000000"/>
                <w:kern w:val="0"/>
                <w:szCs w:val="24"/>
              </w:rPr>
            </w:pPr>
            <w:r>
              <w:rPr>
                <w:rFonts w:hint="eastAsia" w:ascii="黑体" w:hAnsi="黑体" w:eastAsia="黑体" w:cs="宋体"/>
                <w:color w:val="000000"/>
                <w:kern w:val="0"/>
                <w:szCs w:val="24"/>
              </w:rPr>
              <w:t>主要内容</w:t>
            </w:r>
            <w:r>
              <w:rPr>
                <w:rFonts w:ascii="黑体" w:hAnsi="黑体" w:eastAsia="黑体" w:cs="宋体"/>
                <w:color w:val="000000"/>
                <w:kern w:val="0"/>
                <w:szCs w:val="24"/>
              </w:rPr>
              <w:t>/用途/功能描述</w:t>
            </w:r>
          </w:p>
        </w:tc>
        <w:tc>
          <w:tcPr>
            <w:tcW w:w="682" w:type="dxa"/>
            <w:gridSpan w:val="2"/>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放置地点</w:t>
            </w:r>
          </w:p>
        </w:tc>
        <w:tc>
          <w:tcPr>
            <w:tcW w:w="925"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类型</w:t>
            </w:r>
            <w:r>
              <w:rPr>
                <w:rFonts w:hint="eastAsia" w:ascii="黑体" w:hAnsi="黑体" w:eastAsia="黑体" w:cs="宋体"/>
                <w:kern w:val="0"/>
                <w:sz w:val="20"/>
                <w:szCs w:val="20"/>
              </w:rPr>
              <w:t>（购置/试制/改造）</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国产</w:t>
            </w:r>
            <w:r>
              <w:rPr>
                <w:rFonts w:ascii="黑体" w:hAnsi="黑体" w:eastAsia="黑体" w:cs="宋体"/>
                <w:kern w:val="0"/>
                <w:szCs w:val="24"/>
              </w:rPr>
              <w:t>/进口</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全新</w:t>
            </w:r>
            <w:r>
              <w:rPr>
                <w:rFonts w:ascii="黑体" w:hAnsi="黑体" w:eastAsia="黑体" w:cs="宋体"/>
                <w:kern w:val="0"/>
                <w:szCs w:val="24"/>
              </w:rPr>
              <w:t>/二手</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是否关联方交易</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型号规格</w:t>
            </w:r>
          </w:p>
        </w:tc>
        <w:tc>
          <w:tcPr>
            <w:tcW w:w="925"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单价</w:t>
            </w:r>
            <w:r>
              <w:rPr>
                <w:rFonts w:ascii="黑体" w:hAnsi="黑体" w:eastAsia="黑体" w:cs="宋体"/>
                <w:kern w:val="0"/>
                <w:szCs w:val="24"/>
              </w:rPr>
              <w:br w:type="textWrapping"/>
            </w:r>
            <w:r>
              <w:rPr>
                <w:rFonts w:hint="eastAsia" w:ascii="黑体" w:hAnsi="黑体" w:eastAsia="黑体" w:cs="宋体"/>
                <w:kern w:val="0"/>
                <w:sz w:val="20"/>
                <w:szCs w:val="20"/>
              </w:rPr>
              <w:t>（含税）</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数量</w:t>
            </w:r>
          </w:p>
        </w:tc>
        <w:tc>
          <w:tcPr>
            <w:tcW w:w="691"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单位</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会计科目</w:t>
            </w:r>
          </w:p>
        </w:tc>
        <w:tc>
          <w:tcPr>
            <w:tcW w:w="682" w:type="dxa"/>
            <w:gridSpan w:val="2"/>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凭证类型</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记账时间</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凭证编号</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w:t>
            </w:r>
            <w:r>
              <w:rPr>
                <w:rFonts w:ascii="黑体" w:hAnsi="黑体" w:eastAsia="黑体" w:cs="宋体"/>
                <w:kern w:val="0"/>
                <w:szCs w:val="24"/>
              </w:rPr>
              <w:t>/报关</w:t>
            </w:r>
            <w:r>
              <w:rPr>
                <w:rFonts w:hint="eastAsia" w:ascii="黑体" w:hAnsi="黑体" w:eastAsia="黑体" w:cs="宋体"/>
                <w:kern w:val="0"/>
                <w:szCs w:val="24"/>
              </w:rPr>
              <w:t>单时间</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发票号</w:t>
            </w:r>
            <w:r>
              <w:rPr>
                <w:rFonts w:ascii="黑体" w:hAnsi="黑体" w:eastAsia="黑体" w:cs="宋体"/>
                <w:kern w:val="0"/>
                <w:szCs w:val="24"/>
              </w:rPr>
              <w:t>/报关单编号</w:t>
            </w:r>
          </w:p>
        </w:tc>
        <w:tc>
          <w:tcPr>
            <w:tcW w:w="1268"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发票金额</w:t>
            </w:r>
            <w:r>
              <w:rPr>
                <w:rFonts w:ascii="黑体" w:hAnsi="黑体" w:eastAsia="黑体" w:cs="宋体"/>
                <w:kern w:val="0"/>
                <w:szCs w:val="24"/>
              </w:rPr>
              <w:br w:type="textWrapping"/>
            </w:r>
            <w:r>
              <w:rPr>
                <w:rFonts w:hint="eastAsia" w:ascii="黑体" w:hAnsi="黑体" w:eastAsia="黑体" w:cs="宋体"/>
                <w:kern w:val="0"/>
                <w:sz w:val="20"/>
                <w:szCs w:val="20"/>
              </w:rPr>
              <w:t>（不含税）</w:t>
            </w:r>
          </w:p>
        </w:tc>
        <w:tc>
          <w:tcPr>
            <w:tcW w:w="1268"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发票金额</w:t>
            </w:r>
            <w:r>
              <w:rPr>
                <w:rFonts w:ascii="黑体" w:hAnsi="黑体" w:eastAsia="黑体" w:cs="宋体"/>
                <w:kern w:val="0"/>
                <w:szCs w:val="24"/>
              </w:rPr>
              <w:br w:type="textWrapping"/>
            </w:r>
            <w:r>
              <w:rPr>
                <w:rFonts w:hint="eastAsia" w:ascii="黑体" w:hAnsi="黑体" w:eastAsia="黑体" w:cs="宋体"/>
                <w:kern w:val="0"/>
                <w:sz w:val="20"/>
                <w:szCs w:val="20"/>
              </w:rPr>
              <w:t>（含税）</w:t>
            </w:r>
          </w:p>
        </w:tc>
        <w:tc>
          <w:tcPr>
            <w:tcW w:w="1268"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已付款</w:t>
            </w:r>
          </w:p>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金额</w:t>
            </w:r>
            <w:r>
              <w:rPr>
                <w:rFonts w:ascii="黑体" w:hAnsi="黑体" w:eastAsia="黑体" w:cs="宋体"/>
                <w:kern w:val="0"/>
                <w:szCs w:val="24"/>
              </w:rPr>
              <w:br w:type="textWrapping"/>
            </w:r>
            <w:r>
              <w:rPr>
                <w:rFonts w:hint="eastAsia" w:ascii="黑体" w:hAnsi="黑体" w:eastAsia="黑体" w:cs="宋体"/>
                <w:kern w:val="0"/>
                <w:sz w:val="20"/>
                <w:szCs w:val="20"/>
              </w:rPr>
              <w:t>（含税）</w:t>
            </w:r>
          </w:p>
        </w:tc>
        <w:tc>
          <w:tcPr>
            <w:tcW w:w="1427"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付款回单编号</w:t>
            </w:r>
            <w:r>
              <w:rPr>
                <w:rFonts w:hint="eastAsia" w:ascii="黑体" w:hAnsi="黑体" w:eastAsia="黑体" w:cs="宋体"/>
                <w:kern w:val="0"/>
                <w:sz w:val="20"/>
                <w:szCs w:val="20"/>
              </w:rPr>
              <w:t>（后</w:t>
            </w:r>
            <w:r>
              <w:rPr>
                <w:rFonts w:hint="eastAsia" w:hAnsi="仿宋_GB2312" w:cs="仿宋_GB2312"/>
                <w:sz w:val="20"/>
                <w:szCs w:val="20"/>
              </w:rPr>
              <w:t>4</w:t>
            </w:r>
            <w:r>
              <w:rPr>
                <w:rFonts w:hint="eastAsia" w:ascii="黑体" w:hAnsi="黑体" w:eastAsia="黑体" w:cs="宋体"/>
                <w:kern w:val="0"/>
                <w:sz w:val="20"/>
                <w:szCs w:val="20"/>
              </w:rPr>
              <w:t>位、如***</w:t>
            </w:r>
            <w:r>
              <w:rPr>
                <w:rFonts w:hint="eastAsia" w:hAnsi="仿宋_GB2312" w:cs="仿宋_GB2312"/>
                <w:sz w:val="20"/>
                <w:szCs w:val="20"/>
              </w:rPr>
              <w:t>4</w:t>
            </w:r>
            <w:r>
              <w:rPr>
                <w:rFonts w:hint="eastAsia" w:ascii="黑体" w:hAnsi="黑体" w:eastAsia="黑体" w:cs="宋体"/>
                <w:kern w:val="0"/>
                <w:sz w:val="20"/>
                <w:szCs w:val="20"/>
              </w:rPr>
              <w:t>）</w:t>
            </w:r>
          </w:p>
        </w:tc>
        <w:tc>
          <w:tcPr>
            <w:tcW w:w="1273"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申报金额</w:t>
            </w:r>
            <w:r>
              <w:rPr>
                <w:rFonts w:ascii="黑体" w:hAnsi="黑体" w:eastAsia="黑体" w:cs="宋体"/>
                <w:kern w:val="0"/>
                <w:szCs w:val="24"/>
              </w:rPr>
              <w:br w:type="textWrapping"/>
            </w:r>
            <w:r>
              <w:rPr>
                <w:rFonts w:hint="eastAsia" w:ascii="黑体" w:hAnsi="黑体" w:eastAsia="黑体" w:cs="宋体"/>
                <w:kern w:val="0"/>
                <w:sz w:val="20"/>
                <w:szCs w:val="20"/>
              </w:rPr>
              <w:t>（不含税）</w:t>
            </w:r>
          </w:p>
        </w:tc>
      </w:tr>
      <w:tr>
        <w:tblPrEx>
          <w:tblCellMar>
            <w:top w:w="0" w:type="dxa"/>
            <w:left w:w="108" w:type="dxa"/>
            <w:bottom w:w="0" w:type="dxa"/>
            <w:right w:w="108" w:type="dxa"/>
          </w:tblCellMar>
        </w:tblPrEx>
        <w:trPr>
          <w:trHeight w:val="765" w:hRule="atLeast"/>
        </w:trPr>
        <w:tc>
          <w:tcPr>
            <w:tcW w:w="12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482"/>
              <w:jc w:val="center"/>
              <w:rPr>
                <w:rFonts w:ascii="黑体" w:hAnsi="黑体" w:eastAsia="黑体" w:cs="宋体"/>
                <w:color w:val="000000"/>
                <w:kern w:val="0"/>
                <w:szCs w:val="24"/>
              </w:rPr>
            </w:pPr>
            <w:r>
              <w:rPr>
                <w:rFonts w:hint="eastAsia" w:ascii="黑体" w:hAnsi="黑体" w:eastAsia="黑体" w:cs="宋体"/>
                <w:color w:val="000000"/>
                <w:kern w:val="0"/>
                <w:szCs w:val="24"/>
              </w:rPr>
              <w:t>一</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固定资</w:t>
            </w:r>
          </w:p>
          <w:p>
            <w:pPr>
              <w:widowControl/>
              <w:spacing w:line="240" w:lineRule="auto"/>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产投资</w:t>
            </w:r>
          </w:p>
        </w:tc>
        <w:tc>
          <w:tcPr>
            <w:tcW w:w="114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黑体" w:hAnsi="黑体" w:eastAsia="黑体" w:cs="宋体"/>
                <w:color w:val="000000"/>
                <w:kern w:val="0"/>
                <w:szCs w:val="24"/>
              </w:rPr>
            </w:pPr>
          </w:p>
        </w:tc>
        <w:tc>
          <w:tcPr>
            <w:tcW w:w="1268" w:type="dxa"/>
            <w:gridSpan w:val="2"/>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color w:val="000000"/>
                <w:kern w:val="0"/>
                <w:szCs w:val="21"/>
              </w:rPr>
            </w:pPr>
          </w:p>
        </w:tc>
        <w:tc>
          <w:tcPr>
            <w:tcW w:w="16921" w:type="dxa"/>
            <w:gridSpan w:val="21"/>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765" w:hRule="atLeast"/>
        </w:trPr>
        <w:tc>
          <w:tcPr>
            <w:tcW w:w="1274" w:type="dxa"/>
            <w:gridSpan w:val="2"/>
            <w:tcBorders>
              <w:top w:val="single" w:color="auto" w:sz="4"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（一）设备购置费</w:t>
            </w:r>
          </w:p>
        </w:tc>
        <w:tc>
          <w:tcPr>
            <w:tcW w:w="1596" w:type="dxa"/>
            <w:tcBorders>
              <w:top w:val="single" w:color="auto" w:sz="4"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设备名称</w:t>
            </w:r>
          </w:p>
        </w:tc>
        <w:tc>
          <w:tcPr>
            <w:tcW w:w="1140"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000000"/>
                <w:kern w:val="0"/>
                <w:sz w:val="21"/>
                <w:szCs w:val="21"/>
              </w:rPr>
            </w:pPr>
          </w:p>
        </w:tc>
        <w:tc>
          <w:tcPr>
            <w:tcW w:w="960"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用途/功能描述（如是自制设备，请备注）</w:t>
            </w:r>
          </w:p>
        </w:tc>
        <w:tc>
          <w:tcPr>
            <w:tcW w:w="682" w:type="dxa"/>
            <w:gridSpan w:val="2"/>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91"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single" w:color="auto" w:sz="4" w:space="0"/>
              <w:left w:val="nil"/>
              <w:bottom w:val="single" w:color="auto" w:sz="8"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427"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273"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hAnsi="仿宋_GB2312" w:cs="仿宋_GB2312"/>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b/>
                <w:bCs/>
                <w:color w:val="000000"/>
                <w:kern w:val="0"/>
                <w:szCs w:val="21"/>
              </w:rPr>
            </w:pPr>
            <w:r>
              <w:rPr>
                <w:rFonts w:hint="eastAsia" w:ascii="宋体" w:hAnsi="宋体" w:cs="宋体"/>
                <w:b/>
                <w:bCs/>
                <w:color w:val="000000"/>
                <w:kern w:val="0"/>
                <w:sz w:val="21"/>
                <w:szCs w:val="21"/>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宋体" w:eastAsia="仿宋_GB2312" w:cs="宋体"/>
                <w:color w:val="000000"/>
                <w:kern w:val="0"/>
                <w:szCs w:val="21"/>
              </w:rPr>
            </w:pPr>
            <w:r>
              <w:rPr>
                <w:rFonts w:hint="eastAsia" w:hAnsi="仿宋_GB2312" w:cs="仿宋_GB2312"/>
                <w:sz w:val="21"/>
                <w:szCs w:val="21"/>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000000"/>
                <w:kern w:val="0"/>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510" w:hRule="atLeast"/>
        </w:trPr>
        <w:tc>
          <w:tcPr>
            <w:tcW w:w="1274" w:type="dxa"/>
            <w:gridSpan w:val="2"/>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（二）安装工程费</w:t>
            </w:r>
          </w:p>
        </w:tc>
        <w:tc>
          <w:tcPr>
            <w:tcW w:w="15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费用名称（按合同填写）</w:t>
            </w:r>
          </w:p>
        </w:tc>
        <w:tc>
          <w:tcPr>
            <w:tcW w:w="1140"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宋体" w:hAnsi="宋体" w:cs="宋体"/>
                <w:b/>
                <w:bCs/>
                <w:color w:val="000000"/>
                <w:kern w:val="0"/>
                <w:sz w:val="21"/>
                <w:szCs w:val="21"/>
              </w:rPr>
            </w:pPr>
          </w:p>
        </w:tc>
        <w:tc>
          <w:tcPr>
            <w:tcW w:w="96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委托合同/协议主要内容</w:t>
            </w: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91"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682" w:type="dxa"/>
            <w:tcBorders>
              <w:top w:val="nil"/>
              <w:left w:val="nil"/>
              <w:bottom w:val="single" w:color="auto" w:sz="8"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268" w:type="dxa"/>
            <w:tcBorders>
              <w:top w:val="nil"/>
              <w:left w:val="single" w:color="auto" w:sz="4" w:space="0"/>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427"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c>
          <w:tcPr>
            <w:tcW w:w="1273"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hAnsi="仿宋_GB2312" w:cs="仿宋_GB2312"/>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宋体" w:hAnsi="宋体" w:cs="宋体"/>
                <w:color w:val="000000"/>
                <w:kern w:val="0"/>
                <w:sz w:val="21"/>
                <w:szCs w:val="21"/>
              </w:rPr>
              <w:t>装配及安装费</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hAnsi="仿宋_GB2312" w:cs="仿宋_GB2312"/>
              </w:rPr>
              <w:t>1.1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1.2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设备试运行费</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3</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其他费用</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3.1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3.2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b/>
                <w:bCs/>
                <w:color w:val="000000"/>
                <w:kern w:val="0"/>
                <w:sz w:val="21"/>
                <w:szCs w:val="21"/>
              </w:rPr>
            </w:pPr>
            <w:r>
              <w:rPr>
                <w:rFonts w:hint="eastAsia" w:ascii="宋体" w:hAnsi="宋体" w:cs="宋体"/>
                <w:b/>
                <w:bCs/>
                <w:color w:val="000000"/>
                <w:kern w:val="0"/>
                <w:sz w:val="21"/>
                <w:szCs w:val="21"/>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510" w:hRule="atLeast"/>
        </w:trPr>
        <w:tc>
          <w:tcPr>
            <w:tcW w:w="1274" w:type="dxa"/>
            <w:gridSpan w:val="2"/>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（三）建筑工程费</w:t>
            </w:r>
          </w:p>
        </w:tc>
        <w:tc>
          <w:tcPr>
            <w:tcW w:w="15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费用名称</w:t>
            </w:r>
          </w:p>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（按合同填写）</w:t>
            </w:r>
          </w:p>
        </w:tc>
        <w:tc>
          <w:tcPr>
            <w:tcW w:w="114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000000"/>
                <w:kern w:val="0"/>
                <w:sz w:val="21"/>
                <w:szCs w:val="21"/>
              </w:rPr>
            </w:pPr>
          </w:p>
        </w:tc>
        <w:tc>
          <w:tcPr>
            <w:tcW w:w="96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委托合同/协议主要内容</w:t>
            </w: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91"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1268" w:type="dxa"/>
            <w:tcBorders>
              <w:top w:val="nil"/>
              <w:left w:val="single" w:color="auto" w:sz="4" w:space="0"/>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1427"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c>
          <w:tcPr>
            <w:tcW w:w="1273"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房屋工程费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kern w:val="0"/>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1.1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kern w:val="0"/>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1.2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设备基础费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3</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场地布置费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3.1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3.2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4</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整治工程费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4.1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4.2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5</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其他费用</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5.1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5.2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仿宋_GB2312" w:eastAsia="仿宋_GB2312" w:cs="仿宋_GB2312"/>
                <w:b/>
                <w:bCs/>
                <w:color w:val="000000"/>
                <w:kern w:val="0"/>
                <w:sz w:val="21"/>
                <w:szCs w:val="21"/>
              </w:rPr>
            </w:pPr>
            <w:r>
              <w:rPr>
                <w:rFonts w:hint="eastAsia" w:ascii="宋体" w:hAnsi="宋体" w:cs="宋体"/>
                <w:b/>
                <w:bCs/>
                <w:color w:val="000000"/>
                <w:kern w:val="0"/>
                <w:sz w:val="21"/>
                <w:szCs w:val="21"/>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660" w:hRule="atLeast"/>
        </w:trPr>
        <w:tc>
          <w:tcPr>
            <w:tcW w:w="1274" w:type="dxa"/>
            <w:gridSpan w:val="2"/>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482"/>
              <w:jc w:val="center"/>
              <w:rPr>
                <w:rFonts w:ascii="黑体" w:hAnsi="黑体" w:eastAsia="黑体" w:cs="宋体"/>
                <w:color w:val="000000"/>
                <w:kern w:val="0"/>
                <w:szCs w:val="24"/>
              </w:rPr>
            </w:pPr>
            <w:r>
              <w:rPr>
                <w:rFonts w:hint="eastAsia" w:ascii="黑体" w:hAnsi="黑体" w:eastAsia="黑体" w:cs="宋体"/>
                <w:color w:val="000000"/>
                <w:kern w:val="0"/>
                <w:szCs w:val="24"/>
              </w:rPr>
              <w:t>二</w:t>
            </w:r>
          </w:p>
        </w:tc>
        <w:tc>
          <w:tcPr>
            <w:tcW w:w="15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其他投入</w:t>
            </w:r>
          </w:p>
        </w:tc>
        <w:tc>
          <w:tcPr>
            <w:tcW w:w="1140"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96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仿宋_GB2312" w:hAnsi="仿宋_GB2312" w:eastAsia="仿宋_GB2312" w:cs="仿宋_GB2312"/>
                <w:b/>
                <w:bCs/>
                <w:color w:val="000000"/>
                <w:kern w:val="0"/>
                <w:sz w:val="21"/>
                <w:szCs w:val="21"/>
              </w:rPr>
            </w:pPr>
            <w:r>
              <w:rPr>
                <w:rFonts w:hint="eastAsia" w:ascii="黑体" w:hAnsi="黑体" w:eastAsia="黑体" w:cs="宋体"/>
                <w:color w:val="000000"/>
                <w:kern w:val="0"/>
                <w:szCs w:val="24"/>
              </w:rPr>
              <w:t>委托合同/协议主要内容</w:t>
            </w: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91"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682" w:type="dxa"/>
            <w:tcBorders>
              <w:top w:val="nil"/>
              <w:left w:val="nil"/>
              <w:bottom w:val="single" w:color="auto" w:sz="8" w:space="0"/>
              <w:right w:val="single" w:color="auto" w:sz="4"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1268" w:type="dxa"/>
            <w:tcBorders>
              <w:top w:val="nil"/>
              <w:left w:val="single" w:color="auto" w:sz="4" w:space="0"/>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1427"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1273"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配套软件</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1.1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1.2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检测维护</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2.2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rPr>
            </w:pPr>
            <w:r>
              <w:rPr>
                <w:rFonts w:hint="eastAsia" w:hAnsi="仿宋_GB2312" w:cs="仿宋_GB2312"/>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仿宋_GB2312" w:eastAsia="仿宋_GB2312" w:cs="仿宋_GB2312"/>
                <w:b/>
                <w:bCs/>
                <w:color w:val="000000"/>
                <w:kern w:val="0"/>
                <w:sz w:val="21"/>
                <w:szCs w:val="21"/>
              </w:rPr>
            </w:pPr>
            <w:r>
              <w:rPr>
                <w:rFonts w:hint="eastAsia" w:ascii="宋体" w:hAnsi="宋体" w:cs="宋体"/>
                <w:b/>
                <w:bCs/>
                <w:color w:val="000000"/>
                <w:kern w:val="0"/>
                <w:sz w:val="21"/>
                <w:szCs w:val="21"/>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000000"/>
                <w:kern w:val="0"/>
                <w:sz w:val="21"/>
                <w:szCs w:val="21"/>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000000"/>
                <w:kern w:val="0"/>
                <w:sz w:val="21"/>
                <w:szCs w:val="21"/>
              </w:rPr>
            </w:pPr>
            <w:r>
              <w:rPr>
                <w:rFonts w:hint="eastAsia" w:hAnsi="仿宋_GB2312" w:cs="仿宋_GB2312"/>
                <w:sz w:val="21"/>
                <w:szCs w:val="21"/>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270" w:hRule="atLeast"/>
        </w:trPr>
        <w:tc>
          <w:tcPr>
            <w:tcW w:w="2870" w:type="dxa"/>
            <w:gridSpan w:val="3"/>
            <w:tcBorders>
              <w:top w:val="single" w:color="auto" w:sz="8" w:space="0"/>
              <w:left w:val="single" w:color="auto" w:sz="8" w:space="0"/>
              <w:bottom w:val="single" w:color="auto" w:sz="8" w:space="0"/>
              <w:right w:val="single" w:color="000000" w:sz="8" w:space="0"/>
            </w:tcBorders>
            <w:vAlign w:val="center"/>
          </w:tcPr>
          <w:p>
            <w:pPr>
              <w:widowControl/>
              <w:spacing w:line="240" w:lineRule="auto"/>
              <w:ind w:firstLine="0" w:firstLineChars="0"/>
              <w:jc w:val="center"/>
              <w:rPr>
                <w:rFonts w:ascii="仿宋_GB2312" w:hAnsi="仿宋_GB2312" w:eastAsia="仿宋_GB2312" w:cs="仿宋_GB2312"/>
                <w:b/>
                <w:bCs/>
                <w:color w:val="000000"/>
                <w:kern w:val="0"/>
                <w:sz w:val="21"/>
                <w:szCs w:val="21"/>
              </w:rPr>
            </w:pPr>
            <w:r>
              <w:rPr>
                <w:rFonts w:hint="eastAsia" w:ascii="宋体" w:hAnsi="宋体" w:cs="宋体"/>
                <w:b/>
                <w:bCs/>
                <w:color w:val="000000"/>
                <w:kern w:val="0"/>
                <w:sz w:val="21"/>
                <w:szCs w:val="21"/>
              </w:rPr>
              <w:t>合计</w:t>
            </w:r>
          </w:p>
        </w:tc>
        <w:tc>
          <w:tcPr>
            <w:tcW w:w="1140" w:type="dxa"/>
            <w:tcBorders>
              <w:top w:val="nil"/>
              <w:left w:val="nil"/>
              <w:bottom w:val="single" w:color="auto" w:sz="8" w:space="0"/>
              <w:right w:val="single" w:color="auto" w:sz="8" w:space="0"/>
            </w:tcBorders>
            <w:vAlign w:val="center"/>
          </w:tcPr>
          <w:p>
            <w:pPr>
              <w:widowControl/>
              <w:spacing w:line="240" w:lineRule="auto"/>
              <w:ind w:firstLine="423"/>
              <w:jc w:val="center"/>
              <w:rPr>
                <w:rFonts w:ascii="仿宋_GB2312" w:hAnsi="仿宋_GB2312" w:eastAsia="仿宋_GB2312" w:cs="仿宋_GB2312"/>
                <w:b/>
                <w:bCs/>
                <w:color w:val="000000"/>
                <w:kern w:val="0"/>
                <w:sz w:val="21"/>
                <w:szCs w:val="21"/>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000000"/>
                <w:kern w:val="0"/>
                <w:sz w:val="21"/>
                <w:szCs w:val="21"/>
              </w:rPr>
            </w:pPr>
            <w:r>
              <w:rPr>
                <w:rFonts w:hint="eastAsia" w:hAnsi="仿宋_GB2312" w:cs="仿宋_GB2312"/>
                <w:sz w:val="21"/>
                <w:szCs w:val="21"/>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000000"/>
                <w:kern w:val="0"/>
                <w:sz w:val="21"/>
                <w:szCs w:val="21"/>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sz w:val="21"/>
                <w:szCs w:val="21"/>
              </w:rPr>
            </w:pPr>
            <w:r>
              <w:rPr>
                <w:rFonts w:hint="eastAsia" w:hAnsi="仿宋_GB2312" w:cs="仿宋_GB2312"/>
                <w:sz w:val="21"/>
                <w:szCs w:val="21"/>
              </w:rPr>
              <w:t>0.0000</w:t>
            </w:r>
          </w:p>
        </w:tc>
      </w:tr>
    </w:tbl>
    <w:p>
      <w:pPr>
        <w:widowControl/>
        <w:ind w:firstLine="482"/>
        <w:rPr>
          <w:rFonts w:ascii="宋体" w:hAnsi="宋体" w:cs="宋体"/>
          <w:kern w:val="0"/>
          <w:szCs w:val="24"/>
        </w:rPr>
      </w:pPr>
    </w:p>
    <w:p>
      <w:pPr>
        <w:widowControl/>
        <w:ind w:firstLine="482"/>
        <w:rPr>
          <w:rFonts w:ascii="宋体" w:hAnsi="宋体" w:cs="宋体"/>
          <w:b/>
          <w:bCs/>
          <w:color w:val="000000"/>
          <w:kern w:val="0"/>
          <w:sz w:val="28"/>
          <w:szCs w:val="28"/>
        </w:rPr>
      </w:pPr>
      <w:r>
        <w:rPr>
          <w:rFonts w:hint="eastAsia" w:ascii="宋体" w:hAnsi="宋体" w:cs="宋体"/>
          <w:kern w:val="0"/>
          <w:szCs w:val="24"/>
        </w:rPr>
        <w:t>说明：经审核，本项目固定资产投资总金额</w:t>
      </w:r>
      <w:r>
        <w:rPr>
          <w:rFonts w:ascii="宋体" w:hAnsi="宋体" w:cs="宋体"/>
          <w:kern w:val="0"/>
          <w:szCs w:val="24"/>
          <w:u w:val="single"/>
        </w:rPr>
        <w:t xml:space="preserve">           </w:t>
      </w:r>
      <w:r>
        <w:rPr>
          <w:rFonts w:hint="eastAsia" w:ascii="宋体" w:hAnsi="宋体" w:cs="宋体"/>
          <w:kern w:val="0"/>
          <w:szCs w:val="24"/>
        </w:rPr>
        <w:t>元，</w:t>
      </w:r>
      <w:r>
        <w:rPr>
          <w:rFonts w:hint="eastAsia" w:hAnsi="仿宋_GB2312" w:cs="仿宋_GB2312"/>
        </w:rPr>
        <w:t>202</w:t>
      </w:r>
      <w:r>
        <w:rPr>
          <w:rFonts w:hAnsi="仿宋_GB2312" w:cs="仿宋_GB2312"/>
        </w:rPr>
        <w:t>2</w:t>
      </w:r>
      <w:r>
        <w:rPr>
          <w:rFonts w:hint="eastAsia" w:ascii="宋体" w:hAnsi="宋体" w:cs="宋体"/>
          <w:kern w:val="0"/>
          <w:szCs w:val="24"/>
        </w:rPr>
        <w:t>年度完成投资</w:t>
      </w:r>
      <w:r>
        <w:rPr>
          <w:rFonts w:ascii="宋体" w:hAnsi="宋体" w:cs="宋体"/>
          <w:kern w:val="0"/>
          <w:szCs w:val="24"/>
          <w:u w:val="single"/>
        </w:rPr>
        <w:t xml:space="preserve">        </w:t>
      </w:r>
      <w:r>
        <w:rPr>
          <w:rFonts w:hint="eastAsia" w:ascii="宋体" w:hAnsi="宋体" w:cs="宋体"/>
          <w:kern w:val="0"/>
          <w:szCs w:val="24"/>
        </w:rPr>
        <w:t>元，其中，设备固定资产投资金额</w:t>
      </w:r>
      <w:r>
        <w:rPr>
          <w:rFonts w:ascii="宋体" w:hAnsi="宋体" w:cs="宋体"/>
          <w:kern w:val="0"/>
          <w:szCs w:val="24"/>
          <w:u w:val="single"/>
        </w:rPr>
        <w:t xml:space="preserve">       </w:t>
      </w:r>
      <w:r>
        <w:rPr>
          <w:rFonts w:hint="eastAsia" w:ascii="宋体" w:hAnsi="宋体" w:cs="宋体"/>
          <w:kern w:val="0"/>
          <w:szCs w:val="24"/>
        </w:rPr>
        <w:t>元，占</w:t>
      </w:r>
      <w:r>
        <w:rPr>
          <w:rFonts w:ascii="宋体" w:hAnsi="宋体" w:cs="宋体"/>
          <w:kern w:val="0"/>
          <w:szCs w:val="24"/>
          <w:u w:val="single"/>
        </w:rPr>
        <w:t xml:space="preserve">     </w:t>
      </w:r>
      <w:r>
        <w:rPr>
          <w:rFonts w:ascii="宋体" w:hAnsi="宋体" w:cs="宋体"/>
          <w:kern w:val="0"/>
          <w:szCs w:val="24"/>
        </w:rPr>
        <w:t>%；土建、公用工程及其它投资</w:t>
      </w:r>
      <w:r>
        <w:rPr>
          <w:rFonts w:ascii="宋体" w:hAnsi="宋体" w:cs="宋体"/>
          <w:kern w:val="0"/>
          <w:szCs w:val="24"/>
          <w:u w:val="single"/>
        </w:rPr>
        <w:t xml:space="preserve">             </w:t>
      </w:r>
      <w:r>
        <w:rPr>
          <w:rFonts w:hint="eastAsia" w:ascii="宋体" w:hAnsi="宋体" w:cs="宋体"/>
          <w:kern w:val="0"/>
          <w:szCs w:val="24"/>
        </w:rPr>
        <w:t>元，占</w:t>
      </w:r>
      <w:r>
        <w:rPr>
          <w:rFonts w:ascii="宋体" w:hAnsi="宋体" w:cs="宋体"/>
          <w:kern w:val="0"/>
          <w:szCs w:val="24"/>
          <w:u w:val="single"/>
        </w:rPr>
        <w:t xml:space="preserve">      </w:t>
      </w:r>
      <w:r>
        <w:rPr>
          <w:rFonts w:ascii="宋体" w:hAnsi="宋体" w:cs="宋体"/>
          <w:kern w:val="0"/>
          <w:szCs w:val="24"/>
        </w:rPr>
        <w:t>%。</w:t>
      </w:r>
    </w:p>
    <w:p>
      <w:pPr>
        <w:widowControl/>
        <w:ind w:firstLine="564"/>
        <w:rPr>
          <w:rFonts w:ascii="宋体" w:hAnsi="宋体" w:cs="宋体"/>
          <w:b/>
          <w:bCs/>
          <w:color w:val="000000"/>
          <w:kern w:val="0"/>
          <w:sz w:val="28"/>
          <w:szCs w:val="28"/>
        </w:rPr>
      </w:pPr>
    </w:p>
    <w:p>
      <w:pPr>
        <w:widowControl/>
        <w:ind w:firstLine="0" w:firstLineChars="0"/>
        <w:sectPr>
          <w:pgSz w:w="23811" w:h="16838" w:orient="landscape"/>
          <w:pgMar w:top="1797" w:right="1440" w:bottom="1797" w:left="1440" w:header="850" w:footer="992" w:gutter="0"/>
          <w:cols w:space="0" w:num="1"/>
          <w:docGrid w:type="linesAndChars" w:linePitch="331" w:charSpace="163"/>
        </w:sectPr>
      </w:pPr>
      <w:r>
        <w:rPr>
          <w:rFonts w:hint="eastAsia" w:ascii="宋体" w:hAnsi="宋体" w:cs="宋体"/>
          <w:b/>
          <w:bCs/>
          <w:color w:val="000000"/>
          <w:kern w:val="0"/>
          <w:sz w:val="28"/>
          <w:szCs w:val="28"/>
        </w:rPr>
        <w:t>备注：</w:t>
      </w:r>
      <w:r>
        <w:rPr>
          <w:rFonts w:hint="eastAsia" w:ascii="宋体" w:hAnsi="宋体" w:cs="宋体"/>
          <w:color w:val="000000"/>
          <w:kern w:val="0"/>
          <w:sz w:val="28"/>
          <w:szCs w:val="28"/>
        </w:rPr>
        <w:t>请企业根据实际情况填写，灰色部分不用填写。</w:t>
      </w:r>
    </w:p>
    <w:p>
      <w:pPr>
        <w:pStyle w:val="28"/>
        <w:spacing w:before="240" w:line="360" w:lineRule="auto"/>
        <w:outlineLvl w:val="2"/>
      </w:pPr>
      <w:bookmarkStart w:id="311" w:name="_Toc130905510"/>
      <w:bookmarkStart w:id="312" w:name="_Toc1993138451"/>
      <w:bookmarkStart w:id="313" w:name="_Toc1179"/>
      <w:bookmarkStart w:id="314" w:name="_Toc521114837"/>
      <w:bookmarkStart w:id="315" w:name="_Toc1174125299"/>
      <w:bookmarkStart w:id="316" w:name="_Toc138949365"/>
      <w:bookmarkStart w:id="317" w:name="_Toc868093145"/>
      <w:r>
        <w:rPr>
          <w:rFonts w:hint="eastAsia"/>
        </w:rPr>
        <w:t>（三）</w:t>
      </w:r>
      <w:bookmarkStart w:id="318" w:name="_Toc74931578"/>
      <w:bookmarkStart w:id="319" w:name="_Toc72497346"/>
      <w:r>
        <w:rPr>
          <w:rFonts w:hint="eastAsia"/>
        </w:rPr>
        <w:t>承诺函</w:t>
      </w:r>
      <w:bookmarkEnd w:id="318"/>
      <w:bookmarkEnd w:id="319"/>
      <w:r>
        <w:rPr>
          <w:rFonts w:hint="eastAsia"/>
        </w:rPr>
        <w:t>（通用版）</w:t>
      </w:r>
      <w:bookmarkEnd w:id="311"/>
      <w:bookmarkEnd w:id="312"/>
      <w:bookmarkEnd w:id="313"/>
      <w:bookmarkEnd w:id="314"/>
      <w:bookmarkEnd w:id="315"/>
      <w:bookmarkEnd w:id="316"/>
      <w:bookmarkEnd w:id="317"/>
    </w:p>
    <w:p>
      <w:pPr>
        <w:ind w:firstLine="0" w:firstLineChars="0"/>
        <w:rPr>
          <w:szCs w:val="24"/>
        </w:rPr>
      </w:pPr>
      <w:r>
        <w:rPr>
          <w:rFonts w:hint="eastAsia" w:ascii="宋体" w:hAnsi="宋体"/>
          <w:spacing w:val="10"/>
          <w:szCs w:val="24"/>
        </w:rPr>
        <w:t>深圳市坪山区工业和信息化局</w:t>
      </w:r>
      <w:r>
        <w:rPr>
          <w:rFonts w:hint="eastAsia"/>
          <w:szCs w:val="24"/>
        </w:rPr>
        <w:t>：</w:t>
      </w:r>
    </w:p>
    <w:p>
      <w:pPr>
        <w:pStyle w:val="3"/>
        <w:spacing w:line="360" w:lineRule="auto"/>
        <w:ind w:firstLine="520"/>
        <w:rPr>
          <w:rFonts w:ascii="宋体" w:hAnsi="宋体" w:eastAsia="宋体"/>
          <w:spacing w:val="10"/>
          <w:szCs w:val="24"/>
        </w:rPr>
      </w:pP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本单位</w:t>
      </w:r>
      <w:r>
        <w:rPr>
          <w:rFonts w:ascii="宋体" w:hAnsi="宋体"/>
          <w:spacing w:val="10"/>
          <w:szCs w:val="24"/>
          <w:u w:val="single"/>
        </w:rPr>
        <w:t xml:space="preserve">                             </w:t>
      </w:r>
      <w:r>
        <w:rPr>
          <w:rFonts w:ascii="宋体" w:hAnsi="宋体" w:eastAsia="宋体"/>
          <w:spacing w:val="10"/>
          <w:szCs w:val="24"/>
        </w:rPr>
        <w:t xml:space="preserve"> </w:t>
      </w:r>
      <w:r>
        <w:rPr>
          <w:rFonts w:hint="eastAsia" w:ascii="宋体" w:hAnsi="宋体" w:eastAsia="宋体"/>
          <w:spacing w:val="10"/>
          <w:szCs w:val="24"/>
        </w:rPr>
        <w:t>已详细阅读并理解《深圳市坪山区经济发展专项资金管理办法》（深坪府办规〔2023〕1号）等有关规定对资助条件的全部要求。</w:t>
      </w:r>
      <w:r>
        <w:rPr>
          <w:rFonts w:ascii="宋体" w:hAnsi="宋体" w:eastAsia="宋体"/>
          <w:spacing w:val="10"/>
          <w:szCs w:val="24"/>
        </w:rPr>
        <w:t xml:space="preserve"> </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我单位自愿做出如下承诺：</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一、我单位在项目申请、实施过程中，提供的项目申报材料是真实有效的，无弄虚作假、漏报、瞒报行为。</w:t>
      </w:r>
      <w:r>
        <w:rPr>
          <w:rFonts w:ascii="宋体" w:hAnsi="宋体" w:eastAsia="宋体"/>
          <w:spacing w:val="10"/>
          <w:szCs w:val="24"/>
        </w:rPr>
        <w:t xml:space="preserve"> </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二、我单位将自觉接受专项资金主管部门及其授权委托机构、监督机构等部门的监督检查，按照相关部门要求及时报送相关资料</w:t>
      </w:r>
      <w:r>
        <w:rPr>
          <w:rFonts w:hint="eastAsia" w:ascii="宋体" w:hAnsi="宋体" w:eastAsia="宋体"/>
          <w:spacing w:val="10"/>
          <w:sz w:val="21"/>
          <w:szCs w:val="21"/>
        </w:rPr>
        <w:t>，</w:t>
      </w:r>
      <w:r>
        <w:rPr>
          <w:rFonts w:hint="eastAsia" w:ascii="宋体" w:hAnsi="宋体" w:eastAsia="宋体"/>
          <w:spacing w:val="10"/>
          <w:szCs w:val="24"/>
        </w:rPr>
        <w:t>履行配合开展实地考察、退回资金等相关义务。</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三、</w:t>
      </w:r>
      <w:bookmarkStart w:id="320" w:name="_Hlk72225993"/>
      <w:r>
        <w:rPr>
          <w:rFonts w:hint="eastAsia" w:ascii="宋体" w:hAnsi="宋体" w:eastAsia="宋体"/>
          <w:spacing w:val="10"/>
          <w:szCs w:val="24"/>
        </w:rPr>
        <w:t>我单位年度累计获区经济发展专项资金资助如超过</w:t>
      </w:r>
      <w:r>
        <w:rPr>
          <w:rFonts w:hint="eastAsia" w:ascii="Times New Roman" w:hAnsi="仿宋_GB2312" w:eastAsia="宋体" w:cs="仿宋_GB2312"/>
          <w:szCs w:val="22"/>
        </w:rPr>
        <w:t>50</w:t>
      </w:r>
      <w:r>
        <w:rPr>
          <w:rFonts w:hint="eastAsia" w:ascii="宋体" w:hAnsi="宋体" w:eastAsia="宋体"/>
          <w:spacing w:val="10"/>
          <w:szCs w:val="24"/>
        </w:rPr>
        <w:t>万元（含）以上，承诺自签订专项资金资助合同之日起五年内注册地不搬离坪山区</w:t>
      </w:r>
      <w:bookmarkEnd w:id="320"/>
      <w:r>
        <w:rPr>
          <w:rFonts w:hint="eastAsia" w:ascii="宋体" w:hAnsi="宋体" w:eastAsia="宋体"/>
          <w:spacing w:val="10"/>
          <w:szCs w:val="24"/>
        </w:rPr>
        <w:t>，受到征拆等政府政策因素导致注册地不得不迁出坪山区的除外。在承诺期限内将注册地、统计地、纳税地迁出坪山区的，或注册地未迁出但统计地、纳税地已不在坪山区的，应及时主动告知区工业和信息化局。</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四、我单位如存在经济发展相关政策文件、经济发展相关专项资助项目合同书及《深圳市坪山区经济发展专项资金管理办法》第十四条规定情况，将按要求全额退回本次资助已获得的资助资金。</w:t>
      </w:r>
    </w:p>
    <w:p>
      <w:pPr>
        <w:pStyle w:val="3"/>
        <w:spacing w:line="360" w:lineRule="auto"/>
        <w:ind w:firstLine="494" w:firstLineChars="190"/>
        <w:rPr>
          <w:rFonts w:ascii="宋体" w:hAnsi="宋体" w:eastAsia="宋体"/>
          <w:spacing w:val="10"/>
          <w:szCs w:val="24"/>
        </w:rPr>
      </w:pPr>
      <w:r>
        <w:rPr>
          <w:rFonts w:hint="eastAsia" w:ascii="宋体" w:hAnsi="宋体" w:eastAsia="宋体"/>
          <w:spacing w:val="10"/>
          <w:szCs w:val="24"/>
        </w:rPr>
        <w:t>五、我单位遵守中国知识产权法律、法规、规章、具有约束力的规范性文件及在中国适用的与知识产权有关的国际公约，所申报项目的知识产权明晰无争议，归属或技术来源正当合法，不存在以下知识产权失信违法行为：</w:t>
      </w:r>
    </w:p>
    <w:p>
      <w:pPr>
        <w:ind w:firstLine="494" w:firstLineChars="190"/>
        <w:rPr>
          <w:rFonts w:ascii="宋体" w:hAnsi="宋体"/>
          <w:spacing w:val="10"/>
          <w:szCs w:val="24"/>
          <w:highlight w:val="yellow"/>
        </w:rPr>
      </w:pPr>
      <w:r>
        <w:rPr>
          <w:rFonts w:hint="eastAsia" w:ascii="宋体" w:hAnsi="宋体"/>
          <w:spacing w:val="10"/>
          <w:szCs w:val="24"/>
        </w:rPr>
        <w:t>（一）提供虚假知识产权申请材料；</w:t>
      </w:r>
    </w:p>
    <w:p>
      <w:pPr>
        <w:ind w:firstLine="494" w:firstLineChars="190"/>
        <w:rPr>
          <w:rFonts w:ascii="宋体" w:hAnsi="宋体"/>
          <w:spacing w:val="10"/>
          <w:szCs w:val="24"/>
        </w:rPr>
      </w:pPr>
      <w:r>
        <w:rPr>
          <w:rFonts w:hint="eastAsia" w:ascii="宋体" w:hAnsi="宋体"/>
          <w:spacing w:val="10"/>
          <w:szCs w:val="24"/>
        </w:rPr>
        <w:t>（二） 拒不执行生效的知识产权行政处理决定或者司法裁判；</w:t>
      </w:r>
    </w:p>
    <w:p>
      <w:pPr>
        <w:pStyle w:val="3"/>
        <w:spacing w:line="360" w:lineRule="auto"/>
        <w:ind w:firstLine="494" w:firstLineChars="190"/>
        <w:rPr>
          <w:rFonts w:ascii="宋体" w:hAnsi="宋体" w:eastAsia="宋体"/>
          <w:spacing w:val="10"/>
          <w:szCs w:val="24"/>
        </w:rPr>
      </w:pPr>
      <w:r>
        <w:rPr>
          <w:rFonts w:hint="eastAsia" w:ascii="宋体" w:hAnsi="宋体" w:eastAsia="宋体"/>
          <w:spacing w:val="10"/>
          <w:szCs w:val="24"/>
        </w:rPr>
        <w:t>（三）侵犯他人知识产权构成犯罪；</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（四）有其他侵犯他人知识产权的行为造成重大社会影响。</w:t>
      </w:r>
    </w:p>
    <w:p>
      <w:pPr>
        <w:ind w:firstLine="480"/>
      </w:pPr>
    </w:p>
    <w:p>
      <w:pPr>
        <w:pStyle w:val="3"/>
        <w:adjustRightInd w:val="0"/>
        <w:snapToGrid w:val="0"/>
        <w:spacing w:line="360" w:lineRule="auto"/>
        <w:ind w:firstLine="522"/>
        <w:jc w:val="both"/>
        <w:rPr>
          <w:rFonts w:ascii="宋体" w:hAnsi="宋体" w:eastAsia="宋体"/>
          <w:b/>
          <w:bCs/>
          <w:spacing w:val="10"/>
          <w:szCs w:val="24"/>
        </w:rPr>
      </w:pPr>
      <w:r>
        <w:rPr>
          <w:rFonts w:hint="eastAsia" w:ascii="宋体" w:hAnsi="宋体" w:eastAsia="宋体"/>
          <w:b/>
          <w:bCs/>
          <w:spacing w:val="10"/>
          <w:szCs w:val="24"/>
        </w:rPr>
        <w:t>如违反以上承诺，我单位将无条件全额退回本次资助已获得的资助资金</w:t>
      </w:r>
    </w:p>
    <w:p>
      <w:pPr>
        <w:pStyle w:val="3"/>
        <w:adjustRightInd w:val="0"/>
        <w:snapToGrid w:val="0"/>
        <w:spacing w:line="360" w:lineRule="auto"/>
        <w:ind w:firstLine="0" w:firstLineChars="0"/>
        <w:rPr>
          <w:rFonts w:ascii="宋体" w:hAnsi="宋体" w:eastAsia="宋体"/>
          <w:b/>
          <w:bCs/>
          <w:spacing w:val="10"/>
          <w:szCs w:val="24"/>
        </w:rPr>
      </w:pPr>
      <w:r>
        <w:rPr>
          <w:rFonts w:ascii="宋体" w:hAnsi="宋体" w:eastAsia="宋体"/>
          <w:b/>
          <w:bCs/>
          <w:spacing w:val="10"/>
          <w:szCs w:val="24"/>
          <w:u w:val="single"/>
        </w:rPr>
        <w:t xml:space="preserve"> </w:t>
      </w:r>
      <w:r>
        <w:rPr>
          <w:rFonts w:hint="eastAsia" w:ascii="宋体" w:hAnsi="宋体" w:eastAsia="宋体"/>
          <w:b/>
          <w:bCs/>
          <w:spacing w:val="10"/>
          <w:szCs w:val="24"/>
          <w:u w:val="single"/>
        </w:rPr>
        <w:t xml:space="preserve">          </w:t>
      </w:r>
      <w:r>
        <w:rPr>
          <w:rFonts w:ascii="宋体" w:hAnsi="宋体" w:eastAsia="宋体"/>
          <w:b/>
          <w:bCs/>
          <w:spacing w:val="10"/>
          <w:szCs w:val="24"/>
          <w:u w:val="single"/>
        </w:rPr>
        <w:t xml:space="preserve"> </w:t>
      </w:r>
      <w:r>
        <w:rPr>
          <w:rFonts w:hint="eastAsia" w:ascii="宋体" w:hAnsi="宋体" w:eastAsia="宋体"/>
          <w:b/>
          <w:bCs/>
          <w:spacing w:val="10"/>
          <w:szCs w:val="24"/>
        </w:rPr>
        <w:t>整（大写）；法定代表人</w:t>
      </w:r>
      <w:r>
        <w:rPr>
          <w:rFonts w:ascii="宋体" w:hAnsi="宋体"/>
          <w:b/>
          <w:bCs/>
          <w:spacing w:val="10"/>
          <w:szCs w:val="24"/>
          <w:u w:val="single"/>
        </w:rPr>
        <w:t xml:space="preserve">               </w:t>
      </w:r>
      <w:r>
        <w:rPr>
          <w:rFonts w:hint="eastAsia" w:ascii="宋体" w:hAnsi="宋体" w:eastAsia="宋体"/>
          <w:b/>
          <w:bCs/>
          <w:spacing w:val="10"/>
          <w:szCs w:val="24"/>
        </w:rPr>
        <w:t>个人自愿承诺将对本单位前述退款义务提供担保，担保方式为连带责任保证。</w:t>
      </w:r>
    </w:p>
    <w:p>
      <w:pPr>
        <w:pStyle w:val="3"/>
        <w:spacing w:line="360" w:lineRule="auto"/>
        <w:ind w:firstLine="4420" w:firstLineChars="1700"/>
        <w:jc w:val="both"/>
        <w:rPr>
          <w:rFonts w:ascii="宋体" w:hAnsi="宋体" w:eastAsia="宋体"/>
          <w:spacing w:val="10"/>
          <w:szCs w:val="24"/>
        </w:rPr>
      </w:pPr>
    </w:p>
    <w:p>
      <w:pPr>
        <w:pStyle w:val="3"/>
        <w:spacing w:line="360" w:lineRule="auto"/>
        <w:ind w:firstLine="4420" w:firstLineChars="1700"/>
        <w:jc w:val="both"/>
        <w:rPr>
          <w:rFonts w:ascii="宋体" w:hAnsi="宋体"/>
          <w:spacing w:val="10"/>
          <w:szCs w:val="24"/>
        </w:rPr>
      </w:pPr>
      <w:r>
        <w:rPr>
          <w:rFonts w:hint="eastAsia" w:ascii="宋体" w:hAnsi="宋体" w:eastAsia="宋体"/>
          <w:spacing w:val="10"/>
          <w:szCs w:val="24"/>
        </w:rPr>
        <w:t>承诺单位（盖章）：</w:t>
      </w:r>
      <w:r>
        <w:rPr>
          <w:rFonts w:ascii="宋体" w:hAnsi="宋体"/>
          <w:spacing w:val="10"/>
          <w:szCs w:val="24"/>
        </w:rPr>
        <w:t>_______________</w:t>
      </w:r>
    </w:p>
    <w:p>
      <w:pPr>
        <w:pStyle w:val="3"/>
        <w:spacing w:line="360" w:lineRule="auto"/>
        <w:ind w:firstLine="4420" w:firstLineChars="1700"/>
        <w:jc w:val="both"/>
        <w:rPr>
          <w:rFonts w:ascii="宋体" w:hAnsi="宋体"/>
          <w:spacing w:val="10"/>
          <w:szCs w:val="24"/>
        </w:rPr>
      </w:pPr>
      <w:r>
        <w:rPr>
          <w:rFonts w:hint="eastAsia" w:ascii="宋体" w:hAnsi="宋体" w:eastAsia="宋体"/>
          <w:spacing w:val="10"/>
          <w:szCs w:val="24"/>
        </w:rPr>
        <w:t>法定代表人（签字）：</w:t>
      </w:r>
      <w:r>
        <w:rPr>
          <w:rFonts w:ascii="宋体" w:hAnsi="宋体"/>
          <w:spacing w:val="10"/>
          <w:szCs w:val="24"/>
        </w:rPr>
        <w:t>_______________</w:t>
      </w:r>
    </w:p>
    <w:p>
      <w:pPr>
        <w:pStyle w:val="3"/>
        <w:spacing w:line="360" w:lineRule="auto"/>
        <w:ind w:firstLine="4420" w:firstLineChars="1700"/>
        <w:jc w:val="both"/>
        <w:rPr>
          <w:rFonts w:ascii="宋体" w:hAnsi="宋体" w:eastAsia="宋体"/>
          <w:spacing w:val="10"/>
          <w:szCs w:val="24"/>
        </w:rPr>
      </w:pPr>
      <w:r>
        <w:rPr>
          <w:rFonts w:hint="eastAsia" w:ascii="宋体" w:hAnsi="宋体" w:eastAsia="宋体"/>
          <w:spacing w:val="10"/>
          <w:szCs w:val="24"/>
        </w:rPr>
        <w:t>担保人（签字）：</w:t>
      </w:r>
      <w:r>
        <w:rPr>
          <w:rFonts w:ascii="宋体" w:hAnsi="宋体"/>
          <w:spacing w:val="10"/>
          <w:szCs w:val="24"/>
        </w:rPr>
        <w:t>_______________</w:t>
      </w:r>
      <w:r>
        <w:rPr>
          <w:rFonts w:ascii="宋体" w:hAnsi="宋体" w:eastAsia="宋体"/>
          <w:spacing w:val="10"/>
          <w:szCs w:val="24"/>
        </w:rPr>
        <w:t xml:space="preserve">              </w:t>
      </w:r>
    </w:p>
    <w:p>
      <w:pPr>
        <w:pStyle w:val="3"/>
        <w:spacing w:line="360" w:lineRule="auto"/>
        <w:ind w:firstLine="520"/>
        <w:jc w:val="right"/>
        <w:rPr>
          <w:rFonts w:eastAsia="宋体"/>
          <w:sz w:val="18"/>
        </w:rPr>
        <w:sectPr>
          <w:pgSz w:w="11905" w:h="16838"/>
          <w:pgMar w:top="1440" w:right="1559" w:bottom="1440" w:left="1400" w:header="850" w:footer="992" w:gutter="0"/>
          <w:cols w:space="720" w:num="1"/>
        </w:sectPr>
      </w:pPr>
      <w:r>
        <w:rPr>
          <w:rFonts w:hint="eastAsia" w:ascii="宋体" w:hAnsi="宋体" w:eastAsia="宋体"/>
          <w:spacing w:val="10"/>
          <w:szCs w:val="24"/>
          <w:u w:val="single"/>
        </w:rPr>
        <w:t xml:space="preserve">   </w:t>
      </w:r>
      <w:r>
        <w:rPr>
          <w:rFonts w:ascii="宋体" w:hAnsi="宋体" w:eastAsia="宋体"/>
          <w:spacing w:val="10"/>
          <w:szCs w:val="24"/>
          <w:u w:val="single"/>
        </w:rPr>
        <w:t xml:space="preserve">    </w:t>
      </w:r>
      <w:r>
        <w:rPr>
          <w:rFonts w:hint="eastAsia" w:ascii="宋体" w:hAnsi="宋体" w:eastAsia="宋体"/>
          <w:spacing w:val="10"/>
          <w:szCs w:val="24"/>
        </w:rPr>
        <w:t>年</w:t>
      </w:r>
      <w:r>
        <w:rPr>
          <w:rFonts w:ascii="宋体" w:hAnsi="宋体" w:eastAsia="宋体"/>
          <w:spacing w:val="10"/>
          <w:szCs w:val="24"/>
          <w:u w:val="single"/>
        </w:rPr>
        <w:t xml:space="preserve">    </w:t>
      </w:r>
      <w:r>
        <w:rPr>
          <w:rFonts w:hint="eastAsia" w:ascii="宋体" w:hAnsi="宋体" w:eastAsia="宋体"/>
          <w:spacing w:val="10"/>
          <w:szCs w:val="24"/>
        </w:rPr>
        <w:t>月</w:t>
      </w:r>
      <w:r>
        <w:rPr>
          <w:rFonts w:ascii="宋体" w:hAnsi="宋体" w:eastAsia="宋体"/>
          <w:spacing w:val="10"/>
          <w:szCs w:val="24"/>
          <w:u w:val="single"/>
        </w:rPr>
        <w:t xml:space="preserve">    </w:t>
      </w:r>
      <w:r>
        <w:rPr>
          <w:rFonts w:hint="eastAsia" w:ascii="宋体" w:hAnsi="宋体" w:eastAsia="宋体"/>
          <w:spacing w:val="10"/>
          <w:szCs w:val="24"/>
          <w:u w:val="single"/>
        </w:rPr>
        <w:t>日</w:t>
      </w:r>
    </w:p>
    <w:p>
      <w:pPr>
        <w:pStyle w:val="28"/>
        <w:spacing w:before="240" w:line="360" w:lineRule="auto"/>
        <w:outlineLvl w:val="2"/>
      </w:pPr>
      <w:bookmarkStart w:id="321" w:name="_Toc1914745056"/>
      <w:bookmarkStart w:id="322" w:name="_Toc202501792"/>
      <w:bookmarkStart w:id="323" w:name="_Toc1566596691"/>
      <w:bookmarkStart w:id="324" w:name="_Toc130905511"/>
      <w:bookmarkStart w:id="325" w:name="_Toc516212658"/>
      <w:bookmarkStart w:id="326" w:name="_Toc18586"/>
      <w:bookmarkStart w:id="327" w:name="_Toc138949366"/>
      <w:bookmarkStart w:id="328" w:name="_Toc74931581"/>
      <w:r>
        <w:rPr>
          <w:rFonts w:hint="eastAsia"/>
        </w:rPr>
        <w:t>（四）承诺函（申请个人奖励项目专用）</w:t>
      </w:r>
      <w:bookmarkEnd w:id="321"/>
      <w:bookmarkEnd w:id="322"/>
      <w:bookmarkEnd w:id="323"/>
      <w:bookmarkEnd w:id="324"/>
      <w:bookmarkEnd w:id="325"/>
      <w:bookmarkEnd w:id="326"/>
      <w:bookmarkEnd w:id="327"/>
    </w:p>
    <w:p>
      <w:pPr>
        <w:ind w:firstLine="0" w:firstLineChars="0"/>
        <w:rPr>
          <w:sz w:val="32"/>
          <w:szCs w:val="32"/>
        </w:rPr>
      </w:pPr>
      <w:r>
        <w:rPr>
          <w:rFonts w:hint="eastAsia" w:ascii="宋体" w:hAnsi="宋体"/>
          <w:spacing w:val="10"/>
          <w:szCs w:val="24"/>
        </w:rPr>
        <w:t>深圳市坪山区工业和信息化局</w:t>
      </w:r>
      <w:r>
        <w:rPr>
          <w:rFonts w:hint="eastAsia"/>
          <w:szCs w:val="24"/>
        </w:rPr>
        <w:t>：</w:t>
      </w:r>
    </w:p>
    <w:p>
      <w:pPr>
        <w:pStyle w:val="3"/>
        <w:spacing w:line="360" w:lineRule="auto"/>
        <w:ind w:firstLine="520"/>
        <w:rPr>
          <w:rFonts w:ascii="宋体" w:hAnsi="宋体" w:eastAsia="宋体"/>
          <w:spacing w:val="10"/>
          <w:szCs w:val="24"/>
        </w:rPr>
      </w:pP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本单位</w:t>
      </w:r>
      <w:r>
        <w:rPr>
          <w:rFonts w:ascii="宋体" w:hAnsi="宋体"/>
          <w:spacing w:val="10"/>
          <w:szCs w:val="24"/>
          <w:u w:val="single"/>
        </w:rPr>
        <w:t xml:space="preserve">                             </w:t>
      </w:r>
      <w:r>
        <w:rPr>
          <w:rFonts w:ascii="宋体" w:hAnsi="宋体" w:eastAsia="宋体"/>
          <w:spacing w:val="10"/>
          <w:szCs w:val="24"/>
        </w:rPr>
        <w:t xml:space="preserve"> </w:t>
      </w:r>
      <w:r>
        <w:rPr>
          <w:rFonts w:hint="eastAsia" w:ascii="宋体" w:hAnsi="宋体" w:eastAsia="宋体"/>
          <w:spacing w:val="10"/>
          <w:szCs w:val="24"/>
        </w:rPr>
        <w:t>已详细阅读并理解《深圳市坪山区经济发展专项资金管理办法》</w:t>
      </w:r>
      <w:r>
        <w:rPr>
          <w:rFonts w:hint="eastAsia" w:ascii="宋体" w:hAnsi="宋体" w:eastAsia="宋体" w:cs="Times New Roman"/>
          <w:spacing w:val="10"/>
          <w:sz w:val="24"/>
          <w:szCs w:val="24"/>
        </w:rPr>
        <w:t>（深坪府办规〔2023〕1号）</w:t>
      </w:r>
      <w:r>
        <w:rPr>
          <w:rFonts w:hint="eastAsia" w:ascii="宋体" w:hAnsi="宋体" w:eastAsia="宋体"/>
          <w:spacing w:val="10"/>
          <w:szCs w:val="24"/>
        </w:rPr>
        <w:t>《</w:t>
      </w:r>
      <w:r>
        <w:rPr>
          <w:rFonts w:hint="eastAsia" w:ascii="宋体" w:hAnsi="宋体" w:eastAsia="宋体"/>
          <w:color w:val="000000"/>
          <w:spacing w:val="10"/>
          <w:szCs w:val="24"/>
        </w:rPr>
        <w:t>深圳市坪山区服务业高质量发展资金支持措施</w:t>
      </w:r>
      <w:r>
        <w:rPr>
          <w:rFonts w:hint="eastAsia" w:ascii="宋体" w:hAnsi="宋体" w:eastAsia="宋体"/>
          <w:spacing w:val="10"/>
          <w:szCs w:val="24"/>
        </w:rPr>
        <w:t>》</w:t>
      </w:r>
      <w:r>
        <w:rPr>
          <w:rFonts w:hint="eastAsia" w:ascii="宋体" w:hAnsi="宋体" w:eastAsia="宋体" w:cs="Times New Roman"/>
          <w:spacing w:val="10"/>
          <w:sz w:val="24"/>
          <w:szCs w:val="24"/>
        </w:rPr>
        <w:t>（深坪府办规〔2023〕</w:t>
      </w:r>
      <w:r>
        <w:rPr>
          <w:rFonts w:hint="eastAsia" w:ascii="宋体" w:hAnsi="宋体" w:eastAsia="宋体" w:cs="Times New Roman"/>
          <w:spacing w:val="10"/>
          <w:sz w:val="24"/>
          <w:szCs w:val="24"/>
          <w:lang w:val="en-US" w:eastAsia="zh-CN"/>
        </w:rPr>
        <w:t>3</w:t>
      </w:r>
      <w:r>
        <w:rPr>
          <w:rFonts w:hint="eastAsia" w:ascii="宋体" w:hAnsi="宋体" w:eastAsia="宋体" w:cs="Times New Roman"/>
          <w:spacing w:val="10"/>
          <w:sz w:val="24"/>
          <w:szCs w:val="24"/>
        </w:rPr>
        <w:t>号）</w:t>
      </w:r>
      <w:r>
        <w:rPr>
          <w:rFonts w:hint="eastAsia" w:ascii="宋体" w:hAnsi="宋体" w:eastAsia="宋体"/>
          <w:spacing w:val="10"/>
          <w:szCs w:val="24"/>
        </w:rPr>
        <w:t>等有关规定对资助条件的全部要求。按照规定，我单位统一代符合条件的员工向贵局申报坪山区产业发展专项资金资助项目。</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我单位自愿做出如下承诺：</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我单位获得员工奖励专项资金资助后，将无条件的把专项资金发给员工，绝不占留该部分专项资金。</w:t>
      </w:r>
      <w:r>
        <w:rPr>
          <w:rFonts w:ascii="宋体" w:hAnsi="宋体" w:eastAsia="宋体"/>
          <w:spacing w:val="10"/>
          <w:szCs w:val="24"/>
        </w:rPr>
        <w:t xml:space="preserve"> </w:t>
      </w:r>
    </w:p>
    <w:p>
      <w:pPr>
        <w:pStyle w:val="3"/>
        <w:spacing w:line="360" w:lineRule="auto"/>
        <w:ind w:firstLine="4420" w:firstLineChars="1700"/>
        <w:jc w:val="both"/>
        <w:rPr>
          <w:rFonts w:ascii="宋体" w:hAnsi="宋体" w:eastAsia="宋体"/>
          <w:spacing w:val="10"/>
          <w:szCs w:val="24"/>
        </w:rPr>
      </w:pPr>
    </w:p>
    <w:p>
      <w:pPr>
        <w:pStyle w:val="3"/>
        <w:spacing w:line="360" w:lineRule="auto"/>
        <w:ind w:firstLine="4420" w:firstLineChars="1700"/>
        <w:jc w:val="both"/>
        <w:rPr>
          <w:rFonts w:ascii="宋体" w:hAnsi="宋体" w:eastAsia="宋体"/>
          <w:spacing w:val="10"/>
          <w:szCs w:val="24"/>
        </w:rPr>
      </w:pPr>
    </w:p>
    <w:p>
      <w:pPr>
        <w:pStyle w:val="3"/>
        <w:adjustRightInd w:val="0"/>
        <w:snapToGrid w:val="0"/>
        <w:spacing w:line="360" w:lineRule="auto"/>
        <w:ind w:firstLine="522"/>
        <w:rPr>
          <w:rFonts w:ascii="宋体" w:hAnsi="宋体" w:eastAsia="宋体"/>
          <w:b/>
          <w:bCs/>
          <w:spacing w:val="10"/>
          <w:szCs w:val="24"/>
        </w:rPr>
      </w:pPr>
      <w:r>
        <w:rPr>
          <w:rFonts w:hint="eastAsia" w:ascii="宋体" w:hAnsi="宋体" w:eastAsia="宋体"/>
          <w:b/>
          <w:bCs/>
          <w:spacing w:val="10"/>
          <w:szCs w:val="24"/>
        </w:rPr>
        <w:t>如违反以上承诺，我单位将无条件全额退回本次资助已获得的资助资金</w:t>
      </w:r>
    </w:p>
    <w:p>
      <w:pPr>
        <w:pStyle w:val="3"/>
        <w:adjustRightInd w:val="0"/>
        <w:snapToGrid w:val="0"/>
        <w:spacing w:line="360" w:lineRule="auto"/>
        <w:ind w:firstLine="0" w:firstLineChars="0"/>
        <w:rPr>
          <w:rFonts w:ascii="宋体" w:hAnsi="宋体" w:eastAsia="宋体"/>
          <w:b/>
          <w:bCs/>
          <w:spacing w:val="10"/>
          <w:szCs w:val="24"/>
        </w:rPr>
      </w:pPr>
      <w:r>
        <w:rPr>
          <w:rFonts w:ascii="宋体" w:hAnsi="宋体" w:eastAsia="宋体"/>
          <w:b/>
          <w:bCs/>
          <w:spacing w:val="10"/>
          <w:szCs w:val="24"/>
          <w:u w:val="single"/>
        </w:rPr>
        <w:t xml:space="preserve"> </w:t>
      </w:r>
      <w:r>
        <w:rPr>
          <w:rFonts w:hint="eastAsia" w:ascii="宋体" w:hAnsi="宋体" w:eastAsia="宋体"/>
          <w:b/>
          <w:bCs/>
          <w:spacing w:val="10"/>
          <w:szCs w:val="24"/>
          <w:u w:val="single"/>
        </w:rPr>
        <w:t xml:space="preserve">          </w:t>
      </w:r>
      <w:r>
        <w:rPr>
          <w:rFonts w:ascii="宋体" w:hAnsi="宋体" w:eastAsia="宋体"/>
          <w:b/>
          <w:bCs/>
          <w:spacing w:val="10"/>
          <w:szCs w:val="24"/>
          <w:u w:val="single"/>
        </w:rPr>
        <w:t xml:space="preserve"> </w:t>
      </w:r>
      <w:r>
        <w:rPr>
          <w:rFonts w:hint="eastAsia" w:ascii="宋体" w:hAnsi="宋体" w:eastAsia="宋体"/>
          <w:b/>
          <w:bCs/>
          <w:spacing w:val="10"/>
          <w:szCs w:val="24"/>
        </w:rPr>
        <w:t>整（大写）；法定代表人</w:t>
      </w:r>
      <w:r>
        <w:rPr>
          <w:rFonts w:ascii="宋体" w:hAnsi="宋体"/>
          <w:b/>
          <w:bCs/>
          <w:spacing w:val="10"/>
          <w:szCs w:val="24"/>
          <w:u w:val="single"/>
        </w:rPr>
        <w:t xml:space="preserve">               </w:t>
      </w:r>
      <w:r>
        <w:rPr>
          <w:rFonts w:hint="eastAsia" w:ascii="宋体" w:hAnsi="宋体" w:eastAsia="宋体"/>
          <w:b/>
          <w:bCs/>
          <w:spacing w:val="10"/>
          <w:szCs w:val="24"/>
        </w:rPr>
        <w:t>个人自愿承诺将对本单位前述退款义务提供担保，担保方式为连带责任保证。</w:t>
      </w:r>
    </w:p>
    <w:p>
      <w:pPr>
        <w:pStyle w:val="3"/>
        <w:spacing w:line="360" w:lineRule="auto"/>
        <w:ind w:firstLine="4420" w:firstLineChars="1700"/>
        <w:jc w:val="both"/>
        <w:rPr>
          <w:rFonts w:ascii="宋体" w:hAnsi="宋体" w:eastAsia="宋体"/>
          <w:spacing w:val="10"/>
          <w:szCs w:val="24"/>
        </w:rPr>
      </w:pPr>
    </w:p>
    <w:p>
      <w:pPr>
        <w:pStyle w:val="3"/>
        <w:spacing w:line="360" w:lineRule="auto"/>
        <w:ind w:firstLine="4420" w:firstLineChars="1700"/>
        <w:jc w:val="both"/>
        <w:rPr>
          <w:rFonts w:ascii="宋体" w:hAnsi="宋体"/>
          <w:spacing w:val="10"/>
          <w:szCs w:val="24"/>
        </w:rPr>
      </w:pPr>
      <w:r>
        <w:rPr>
          <w:rFonts w:hint="eastAsia" w:ascii="宋体" w:hAnsi="宋体" w:eastAsia="宋体"/>
          <w:spacing w:val="10"/>
          <w:szCs w:val="24"/>
        </w:rPr>
        <w:t>承诺单位（盖章）：</w:t>
      </w:r>
      <w:r>
        <w:rPr>
          <w:rFonts w:ascii="宋体" w:hAnsi="宋体"/>
          <w:spacing w:val="10"/>
          <w:szCs w:val="24"/>
        </w:rPr>
        <w:t>_______________</w:t>
      </w:r>
    </w:p>
    <w:p>
      <w:pPr>
        <w:pStyle w:val="3"/>
        <w:spacing w:line="360" w:lineRule="auto"/>
        <w:ind w:firstLine="4420" w:firstLineChars="1700"/>
        <w:jc w:val="both"/>
        <w:rPr>
          <w:rFonts w:ascii="宋体" w:hAnsi="宋体"/>
          <w:spacing w:val="10"/>
          <w:szCs w:val="24"/>
        </w:rPr>
      </w:pPr>
      <w:r>
        <w:rPr>
          <w:rFonts w:hint="eastAsia" w:ascii="宋体" w:hAnsi="宋体" w:eastAsia="宋体"/>
          <w:spacing w:val="10"/>
          <w:szCs w:val="24"/>
        </w:rPr>
        <w:t>法定代表人（签字）：</w:t>
      </w:r>
      <w:r>
        <w:rPr>
          <w:rFonts w:ascii="宋体" w:hAnsi="宋体"/>
          <w:spacing w:val="10"/>
          <w:szCs w:val="24"/>
        </w:rPr>
        <w:t>_______________</w:t>
      </w:r>
    </w:p>
    <w:p>
      <w:pPr>
        <w:pStyle w:val="3"/>
        <w:spacing w:line="360" w:lineRule="auto"/>
        <w:ind w:firstLine="4420" w:firstLineChars="1700"/>
        <w:jc w:val="both"/>
        <w:rPr>
          <w:rFonts w:ascii="宋体" w:hAnsi="宋体" w:eastAsia="宋体"/>
          <w:spacing w:val="10"/>
          <w:szCs w:val="24"/>
        </w:rPr>
      </w:pPr>
      <w:r>
        <w:rPr>
          <w:rFonts w:hint="eastAsia" w:ascii="宋体" w:hAnsi="宋体" w:eastAsia="宋体"/>
          <w:spacing w:val="10"/>
          <w:szCs w:val="24"/>
        </w:rPr>
        <w:t>担保人（签字）：</w:t>
      </w:r>
      <w:r>
        <w:rPr>
          <w:rFonts w:ascii="宋体" w:hAnsi="宋体"/>
          <w:spacing w:val="10"/>
          <w:szCs w:val="24"/>
        </w:rPr>
        <w:t>_______________</w:t>
      </w:r>
      <w:r>
        <w:rPr>
          <w:rFonts w:ascii="宋体" w:hAnsi="宋体" w:eastAsia="宋体"/>
          <w:spacing w:val="10"/>
          <w:szCs w:val="24"/>
        </w:rPr>
        <w:t xml:space="preserve">              </w:t>
      </w:r>
    </w:p>
    <w:p>
      <w:pPr>
        <w:pStyle w:val="3"/>
        <w:spacing w:line="360" w:lineRule="auto"/>
        <w:ind w:firstLine="520"/>
        <w:jc w:val="right"/>
        <w:rPr>
          <w:rFonts w:eastAsia="宋体"/>
          <w:sz w:val="18"/>
        </w:rPr>
        <w:sectPr>
          <w:pgSz w:w="11905" w:h="16838"/>
          <w:pgMar w:top="1440" w:right="1559" w:bottom="1440" w:left="1400" w:header="850" w:footer="992" w:gutter="0"/>
          <w:cols w:space="720" w:num="1"/>
        </w:sectPr>
      </w:pPr>
      <w:r>
        <w:rPr>
          <w:rFonts w:hint="eastAsia" w:ascii="宋体" w:hAnsi="宋体" w:eastAsia="宋体"/>
          <w:spacing w:val="10"/>
          <w:szCs w:val="24"/>
          <w:u w:val="single"/>
        </w:rPr>
        <w:t xml:space="preserve">   </w:t>
      </w:r>
      <w:r>
        <w:rPr>
          <w:rFonts w:ascii="宋体" w:hAnsi="宋体" w:eastAsia="宋体"/>
          <w:spacing w:val="10"/>
          <w:szCs w:val="24"/>
          <w:u w:val="single"/>
        </w:rPr>
        <w:t xml:space="preserve">    </w:t>
      </w:r>
      <w:r>
        <w:rPr>
          <w:rFonts w:hint="eastAsia" w:ascii="宋体" w:hAnsi="宋体" w:eastAsia="宋体"/>
          <w:spacing w:val="10"/>
          <w:szCs w:val="24"/>
        </w:rPr>
        <w:t>年</w:t>
      </w:r>
      <w:r>
        <w:rPr>
          <w:rFonts w:ascii="宋体" w:hAnsi="宋体" w:eastAsia="宋体"/>
          <w:spacing w:val="10"/>
          <w:szCs w:val="24"/>
          <w:u w:val="single"/>
        </w:rPr>
        <w:t xml:space="preserve">    </w:t>
      </w:r>
      <w:r>
        <w:rPr>
          <w:rFonts w:hint="eastAsia" w:ascii="宋体" w:hAnsi="宋体" w:eastAsia="宋体"/>
          <w:spacing w:val="10"/>
          <w:szCs w:val="24"/>
        </w:rPr>
        <w:t>月</w:t>
      </w:r>
      <w:r>
        <w:rPr>
          <w:rFonts w:ascii="宋体" w:hAnsi="宋体" w:eastAsia="宋体"/>
          <w:spacing w:val="10"/>
          <w:szCs w:val="24"/>
          <w:u w:val="single"/>
        </w:rPr>
        <w:t xml:space="preserve">    </w:t>
      </w:r>
      <w:r>
        <w:rPr>
          <w:rFonts w:hint="eastAsia" w:ascii="宋体" w:hAnsi="宋体" w:eastAsia="宋体"/>
          <w:spacing w:val="10"/>
          <w:szCs w:val="24"/>
          <w:u w:val="single"/>
        </w:rPr>
        <w:t>日</w:t>
      </w:r>
    </w:p>
    <w:bookmarkEnd w:id="328"/>
    <w:p>
      <w:pPr>
        <w:pStyle w:val="28"/>
        <w:spacing w:before="435" w:line="360" w:lineRule="auto"/>
        <w:outlineLvl w:val="2"/>
      </w:pPr>
      <w:bookmarkStart w:id="329" w:name="_Toc571866012"/>
      <w:bookmarkStart w:id="330" w:name="_Toc77005951"/>
      <w:bookmarkStart w:id="331" w:name="_Toc130905512"/>
      <w:bookmarkStart w:id="332" w:name="_Toc138949367"/>
      <w:r>
        <w:rPr>
          <w:rFonts w:hint="eastAsia"/>
        </w:rPr>
        <w:t>（五）</w:t>
      </w:r>
      <w:bookmarkEnd w:id="329"/>
      <w:bookmarkEnd w:id="330"/>
      <w:r>
        <w:rPr>
          <w:rFonts w:hint="eastAsia"/>
        </w:rPr>
        <w:t>2022年查验费用明细表</w:t>
      </w:r>
      <w:bookmarkEnd w:id="331"/>
      <w:bookmarkEnd w:id="332"/>
    </w:p>
    <w:p>
      <w:pPr>
        <w:pStyle w:val="3"/>
        <w:spacing w:line="240" w:lineRule="auto"/>
        <w:ind w:firstLine="0" w:firstLineChars="0"/>
        <w:rPr>
          <w:rFonts w:ascii="黑体" w:hAnsi="黑体" w:eastAsia="黑体" w:cs="黑体"/>
          <w:kern w:val="0"/>
          <w:szCs w:val="24"/>
        </w:rPr>
      </w:pPr>
      <w:r>
        <w:rPr>
          <w:rFonts w:hint="eastAsia" w:ascii="黑体" w:hAnsi="黑体" w:eastAsia="黑体" w:cs="黑体"/>
          <w:kern w:val="0"/>
          <w:szCs w:val="24"/>
        </w:rPr>
        <w:t>单位名称：</w:t>
      </w:r>
    </w:p>
    <w:p>
      <w:pPr>
        <w:pStyle w:val="3"/>
        <w:spacing w:line="240" w:lineRule="auto"/>
        <w:ind w:firstLine="0" w:firstLineChars="0"/>
        <w:rPr>
          <w:rFonts w:ascii="黑体" w:hAnsi="黑体" w:eastAsia="黑体" w:cs="黑体"/>
          <w:kern w:val="0"/>
          <w:szCs w:val="24"/>
        </w:rPr>
      </w:pPr>
      <w:r>
        <w:rPr>
          <w:rFonts w:hint="eastAsia" w:ascii="黑体" w:hAnsi="黑体" w:eastAsia="黑体" w:cs="黑体"/>
          <w:kern w:val="0"/>
          <w:szCs w:val="24"/>
        </w:rPr>
        <w:t>单位：人民币元</w:t>
      </w:r>
    </w:p>
    <w:tbl>
      <w:tblPr>
        <w:tblStyle w:val="23"/>
        <w:tblW w:w="13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84"/>
        <w:gridCol w:w="1563"/>
        <w:gridCol w:w="963"/>
        <w:gridCol w:w="1457"/>
        <w:gridCol w:w="1450"/>
        <w:gridCol w:w="1740"/>
        <w:gridCol w:w="1230"/>
        <w:gridCol w:w="960"/>
        <w:gridCol w:w="1245"/>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4"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序号</w:t>
            </w:r>
          </w:p>
        </w:tc>
        <w:tc>
          <w:tcPr>
            <w:tcW w:w="784"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单号</w:t>
            </w:r>
          </w:p>
        </w:tc>
        <w:tc>
          <w:tcPr>
            <w:tcW w:w="1563"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作业单日期</w:t>
            </w:r>
          </w:p>
        </w:tc>
        <w:tc>
          <w:tcPr>
            <w:tcW w:w="963"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车牌号</w:t>
            </w:r>
          </w:p>
        </w:tc>
        <w:tc>
          <w:tcPr>
            <w:tcW w:w="1457"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作业单金额</w:t>
            </w:r>
          </w:p>
        </w:tc>
        <w:tc>
          <w:tcPr>
            <w:tcW w:w="1450"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发票/报关单时间</w:t>
            </w:r>
          </w:p>
        </w:tc>
        <w:tc>
          <w:tcPr>
            <w:tcW w:w="1740"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发票号/报关单编号</w:t>
            </w:r>
          </w:p>
        </w:tc>
        <w:tc>
          <w:tcPr>
            <w:tcW w:w="1230"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发票金额</w:t>
            </w:r>
          </w:p>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 w:val="20"/>
              </w:rPr>
              <w:t>（含税）</w:t>
            </w:r>
          </w:p>
        </w:tc>
        <w:tc>
          <w:tcPr>
            <w:tcW w:w="960"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已付款金额</w:t>
            </w:r>
          </w:p>
        </w:tc>
        <w:tc>
          <w:tcPr>
            <w:tcW w:w="1245"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付款方式</w:t>
            </w:r>
          </w:p>
        </w:tc>
        <w:tc>
          <w:tcPr>
            <w:tcW w:w="1305" w:type="dxa"/>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申报金额</w:t>
            </w:r>
          </w:p>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pPr>
              <w:pStyle w:val="3"/>
              <w:spacing w:line="360" w:lineRule="auto"/>
              <w:ind w:firstLine="480"/>
              <w:rPr>
                <w:rFonts w:ascii="宋体" w:hAnsi="宋体" w:eastAsia="宋体" w:cs="宋体"/>
                <w:kern w:val="0"/>
                <w:szCs w:val="24"/>
              </w:rPr>
            </w:pPr>
          </w:p>
        </w:tc>
        <w:tc>
          <w:tcPr>
            <w:tcW w:w="784" w:type="dxa"/>
          </w:tcPr>
          <w:p>
            <w:pPr>
              <w:pStyle w:val="3"/>
              <w:spacing w:line="360" w:lineRule="auto"/>
              <w:ind w:firstLine="480"/>
              <w:rPr>
                <w:rFonts w:ascii="宋体" w:hAnsi="宋体" w:eastAsia="宋体" w:cs="宋体"/>
                <w:kern w:val="0"/>
                <w:szCs w:val="24"/>
              </w:rPr>
            </w:pPr>
          </w:p>
        </w:tc>
        <w:tc>
          <w:tcPr>
            <w:tcW w:w="1563" w:type="dxa"/>
          </w:tcPr>
          <w:p>
            <w:pPr>
              <w:pStyle w:val="3"/>
              <w:spacing w:line="360" w:lineRule="auto"/>
              <w:ind w:firstLine="480"/>
              <w:rPr>
                <w:rFonts w:ascii="宋体" w:hAnsi="宋体" w:eastAsia="宋体" w:cs="宋体"/>
                <w:kern w:val="0"/>
                <w:szCs w:val="24"/>
              </w:rPr>
            </w:pPr>
          </w:p>
        </w:tc>
        <w:tc>
          <w:tcPr>
            <w:tcW w:w="963" w:type="dxa"/>
          </w:tcPr>
          <w:p>
            <w:pPr>
              <w:pStyle w:val="3"/>
              <w:spacing w:line="360" w:lineRule="auto"/>
              <w:ind w:firstLine="480"/>
              <w:rPr>
                <w:rFonts w:ascii="宋体" w:hAnsi="宋体" w:eastAsia="宋体" w:cs="宋体"/>
                <w:kern w:val="0"/>
                <w:szCs w:val="24"/>
              </w:rPr>
            </w:pPr>
          </w:p>
        </w:tc>
        <w:tc>
          <w:tcPr>
            <w:tcW w:w="1457" w:type="dxa"/>
          </w:tcPr>
          <w:p>
            <w:pPr>
              <w:pStyle w:val="3"/>
              <w:spacing w:line="360" w:lineRule="auto"/>
              <w:ind w:firstLine="480"/>
              <w:rPr>
                <w:rFonts w:ascii="宋体" w:hAnsi="宋体" w:eastAsia="宋体" w:cs="宋体"/>
                <w:kern w:val="0"/>
                <w:szCs w:val="24"/>
              </w:rPr>
            </w:pPr>
          </w:p>
        </w:tc>
        <w:tc>
          <w:tcPr>
            <w:tcW w:w="1450" w:type="dxa"/>
          </w:tcPr>
          <w:p>
            <w:pPr>
              <w:pStyle w:val="3"/>
              <w:spacing w:line="360" w:lineRule="auto"/>
              <w:ind w:firstLine="480"/>
              <w:rPr>
                <w:rFonts w:ascii="宋体" w:hAnsi="宋体" w:eastAsia="宋体" w:cs="宋体"/>
                <w:kern w:val="0"/>
                <w:szCs w:val="24"/>
              </w:rPr>
            </w:pPr>
          </w:p>
        </w:tc>
        <w:tc>
          <w:tcPr>
            <w:tcW w:w="1740" w:type="dxa"/>
          </w:tcPr>
          <w:p>
            <w:pPr>
              <w:pStyle w:val="3"/>
              <w:spacing w:line="360" w:lineRule="auto"/>
              <w:ind w:firstLine="480"/>
              <w:rPr>
                <w:rFonts w:ascii="宋体" w:hAnsi="宋体" w:eastAsia="宋体" w:cs="宋体"/>
                <w:kern w:val="0"/>
                <w:szCs w:val="24"/>
              </w:rPr>
            </w:pPr>
          </w:p>
        </w:tc>
        <w:tc>
          <w:tcPr>
            <w:tcW w:w="1230" w:type="dxa"/>
          </w:tcPr>
          <w:p>
            <w:pPr>
              <w:pStyle w:val="3"/>
              <w:spacing w:line="360" w:lineRule="auto"/>
              <w:ind w:firstLine="480"/>
              <w:rPr>
                <w:rFonts w:ascii="宋体" w:hAnsi="宋体" w:eastAsia="宋体" w:cs="宋体"/>
                <w:kern w:val="0"/>
                <w:szCs w:val="24"/>
              </w:rPr>
            </w:pPr>
          </w:p>
        </w:tc>
        <w:tc>
          <w:tcPr>
            <w:tcW w:w="960" w:type="dxa"/>
          </w:tcPr>
          <w:p>
            <w:pPr>
              <w:pStyle w:val="3"/>
              <w:spacing w:line="360" w:lineRule="auto"/>
              <w:ind w:firstLine="480"/>
              <w:rPr>
                <w:rFonts w:ascii="宋体" w:hAnsi="宋体" w:eastAsia="宋体" w:cs="宋体"/>
                <w:kern w:val="0"/>
                <w:szCs w:val="24"/>
              </w:rPr>
            </w:pPr>
          </w:p>
        </w:tc>
        <w:tc>
          <w:tcPr>
            <w:tcW w:w="1245" w:type="dxa"/>
          </w:tcPr>
          <w:p>
            <w:pPr>
              <w:pStyle w:val="3"/>
              <w:spacing w:line="360" w:lineRule="auto"/>
              <w:ind w:firstLine="480"/>
              <w:rPr>
                <w:rFonts w:ascii="宋体" w:hAnsi="宋体" w:eastAsia="宋体" w:cs="宋体"/>
                <w:kern w:val="0"/>
                <w:szCs w:val="24"/>
              </w:rPr>
            </w:pPr>
          </w:p>
        </w:tc>
        <w:tc>
          <w:tcPr>
            <w:tcW w:w="1305" w:type="dxa"/>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pPr>
              <w:pStyle w:val="3"/>
              <w:spacing w:line="360" w:lineRule="auto"/>
              <w:ind w:firstLine="480"/>
              <w:rPr>
                <w:rFonts w:ascii="宋体" w:hAnsi="宋体" w:eastAsia="宋体" w:cs="宋体"/>
                <w:kern w:val="0"/>
                <w:szCs w:val="24"/>
              </w:rPr>
            </w:pPr>
          </w:p>
        </w:tc>
        <w:tc>
          <w:tcPr>
            <w:tcW w:w="784" w:type="dxa"/>
          </w:tcPr>
          <w:p>
            <w:pPr>
              <w:pStyle w:val="3"/>
              <w:spacing w:line="360" w:lineRule="auto"/>
              <w:ind w:firstLine="480"/>
              <w:rPr>
                <w:rFonts w:ascii="宋体" w:hAnsi="宋体" w:eastAsia="宋体" w:cs="宋体"/>
                <w:kern w:val="0"/>
                <w:szCs w:val="24"/>
              </w:rPr>
            </w:pPr>
          </w:p>
        </w:tc>
        <w:tc>
          <w:tcPr>
            <w:tcW w:w="1563" w:type="dxa"/>
          </w:tcPr>
          <w:p>
            <w:pPr>
              <w:pStyle w:val="3"/>
              <w:spacing w:line="360" w:lineRule="auto"/>
              <w:ind w:firstLine="480"/>
              <w:rPr>
                <w:rFonts w:ascii="宋体" w:hAnsi="宋体" w:eastAsia="宋体" w:cs="宋体"/>
                <w:kern w:val="0"/>
                <w:szCs w:val="24"/>
              </w:rPr>
            </w:pPr>
          </w:p>
        </w:tc>
        <w:tc>
          <w:tcPr>
            <w:tcW w:w="963" w:type="dxa"/>
          </w:tcPr>
          <w:p>
            <w:pPr>
              <w:pStyle w:val="3"/>
              <w:spacing w:line="360" w:lineRule="auto"/>
              <w:ind w:firstLine="480"/>
              <w:rPr>
                <w:rFonts w:ascii="宋体" w:hAnsi="宋体" w:eastAsia="宋体" w:cs="宋体"/>
                <w:kern w:val="0"/>
                <w:szCs w:val="24"/>
              </w:rPr>
            </w:pPr>
          </w:p>
        </w:tc>
        <w:tc>
          <w:tcPr>
            <w:tcW w:w="1457" w:type="dxa"/>
          </w:tcPr>
          <w:p>
            <w:pPr>
              <w:pStyle w:val="3"/>
              <w:spacing w:line="360" w:lineRule="auto"/>
              <w:ind w:firstLine="480"/>
              <w:rPr>
                <w:rFonts w:ascii="宋体" w:hAnsi="宋体" w:eastAsia="宋体" w:cs="宋体"/>
                <w:kern w:val="0"/>
                <w:szCs w:val="24"/>
              </w:rPr>
            </w:pPr>
          </w:p>
        </w:tc>
        <w:tc>
          <w:tcPr>
            <w:tcW w:w="1450" w:type="dxa"/>
          </w:tcPr>
          <w:p>
            <w:pPr>
              <w:pStyle w:val="3"/>
              <w:spacing w:line="360" w:lineRule="auto"/>
              <w:ind w:firstLine="480"/>
              <w:rPr>
                <w:rFonts w:ascii="宋体" w:hAnsi="宋体" w:eastAsia="宋体" w:cs="宋体"/>
                <w:kern w:val="0"/>
                <w:szCs w:val="24"/>
              </w:rPr>
            </w:pPr>
          </w:p>
        </w:tc>
        <w:tc>
          <w:tcPr>
            <w:tcW w:w="1740" w:type="dxa"/>
          </w:tcPr>
          <w:p>
            <w:pPr>
              <w:pStyle w:val="3"/>
              <w:spacing w:line="360" w:lineRule="auto"/>
              <w:ind w:firstLine="480"/>
              <w:rPr>
                <w:rFonts w:ascii="宋体" w:hAnsi="宋体" w:eastAsia="宋体" w:cs="宋体"/>
                <w:kern w:val="0"/>
                <w:szCs w:val="24"/>
              </w:rPr>
            </w:pPr>
          </w:p>
        </w:tc>
        <w:tc>
          <w:tcPr>
            <w:tcW w:w="1230" w:type="dxa"/>
          </w:tcPr>
          <w:p>
            <w:pPr>
              <w:pStyle w:val="3"/>
              <w:spacing w:line="360" w:lineRule="auto"/>
              <w:ind w:firstLine="480"/>
              <w:rPr>
                <w:rFonts w:ascii="宋体" w:hAnsi="宋体" w:eastAsia="宋体" w:cs="宋体"/>
                <w:kern w:val="0"/>
                <w:szCs w:val="24"/>
              </w:rPr>
            </w:pPr>
          </w:p>
        </w:tc>
        <w:tc>
          <w:tcPr>
            <w:tcW w:w="960" w:type="dxa"/>
          </w:tcPr>
          <w:p>
            <w:pPr>
              <w:pStyle w:val="3"/>
              <w:spacing w:line="360" w:lineRule="auto"/>
              <w:ind w:firstLine="480"/>
              <w:rPr>
                <w:rFonts w:ascii="宋体" w:hAnsi="宋体" w:eastAsia="宋体" w:cs="宋体"/>
                <w:kern w:val="0"/>
                <w:szCs w:val="24"/>
              </w:rPr>
            </w:pPr>
          </w:p>
        </w:tc>
        <w:tc>
          <w:tcPr>
            <w:tcW w:w="1245" w:type="dxa"/>
          </w:tcPr>
          <w:p>
            <w:pPr>
              <w:pStyle w:val="3"/>
              <w:spacing w:line="360" w:lineRule="auto"/>
              <w:ind w:firstLine="480"/>
              <w:rPr>
                <w:rFonts w:ascii="宋体" w:hAnsi="宋体" w:eastAsia="宋体" w:cs="宋体"/>
                <w:kern w:val="0"/>
                <w:szCs w:val="24"/>
              </w:rPr>
            </w:pPr>
          </w:p>
        </w:tc>
        <w:tc>
          <w:tcPr>
            <w:tcW w:w="1305" w:type="dxa"/>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pPr>
              <w:pStyle w:val="3"/>
              <w:spacing w:line="360" w:lineRule="auto"/>
              <w:ind w:firstLine="480"/>
              <w:rPr>
                <w:rFonts w:ascii="宋体" w:hAnsi="宋体" w:eastAsia="宋体" w:cs="宋体"/>
                <w:kern w:val="0"/>
                <w:szCs w:val="24"/>
              </w:rPr>
            </w:pPr>
          </w:p>
        </w:tc>
        <w:tc>
          <w:tcPr>
            <w:tcW w:w="784" w:type="dxa"/>
          </w:tcPr>
          <w:p>
            <w:pPr>
              <w:pStyle w:val="3"/>
              <w:spacing w:line="360" w:lineRule="auto"/>
              <w:ind w:firstLine="480"/>
              <w:rPr>
                <w:rFonts w:ascii="宋体" w:hAnsi="宋体" w:eastAsia="宋体" w:cs="宋体"/>
                <w:kern w:val="0"/>
                <w:szCs w:val="24"/>
              </w:rPr>
            </w:pPr>
          </w:p>
        </w:tc>
        <w:tc>
          <w:tcPr>
            <w:tcW w:w="1563" w:type="dxa"/>
          </w:tcPr>
          <w:p>
            <w:pPr>
              <w:pStyle w:val="3"/>
              <w:spacing w:line="360" w:lineRule="auto"/>
              <w:ind w:firstLine="480"/>
              <w:rPr>
                <w:rFonts w:ascii="宋体" w:hAnsi="宋体" w:eastAsia="宋体" w:cs="宋体"/>
                <w:kern w:val="0"/>
                <w:szCs w:val="24"/>
              </w:rPr>
            </w:pPr>
          </w:p>
        </w:tc>
        <w:tc>
          <w:tcPr>
            <w:tcW w:w="963" w:type="dxa"/>
          </w:tcPr>
          <w:p>
            <w:pPr>
              <w:pStyle w:val="3"/>
              <w:spacing w:line="360" w:lineRule="auto"/>
              <w:ind w:firstLine="480"/>
              <w:rPr>
                <w:rFonts w:ascii="宋体" w:hAnsi="宋体" w:eastAsia="宋体" w:cs="宋体"/>
                <w:kern w:val="0"/>
                <w:szCs w:val="24"/>
              </w:rPr>
            </w:pPr>
          </w:p>
        </w:tc>
        <w:tc>
          <w:tcPr>
            <w:tcW w:w="1457" w:type="dxa"/>
          </w:tcPr>
          <w:p>
            <w:pPr>
              <w:pStyle w:val="3"/>
              <w:spacing w:line="360" w:lineRule="auto"/>
              <w:ind w:firstLine="480"/>
              <w:rPr>
                <w:rFonts w:ascii="宋体" w:hAnsi="宋体" w:eastAsia="宋体" w:cs="宋体"/>
                <w:kern w:val="0"/>
                <w:szCs w:val="24"/>
              </w:rPr>
            </w:pPr>
          </w:p>
        </w:tc>
        <w:tc>
          <w:tcPr>
            <w:tcW w:w="1450" w:type="dxa"/>
          </w:tcPr>
          <w:p>
            <w:pPr>
              <w:pStyle w:val="3"/>
              <w:spacing w:line="360" w:lineRule="auto"/>
              <w:ind w:firstLine="480"/>
              <w:rPr>
                <w:rFonts w:ascii="宋体" w:hAnsi="宋体" w:eastAsia="宋体" w:cs="宋体"/>
                <w:kern w:val="0"/>
                <w:szCs w:val="24"/>
              </w:rPr>
            </w:pPr>
          </w:p>
        </w:tc>
        <w:tc>
          <w:tcPr>
            <w:tcW w:w="1740" w:type="dxa"/>
          </w:tcPr>
          <w:p>
            <w:pPr>
              <w:pStyle w:val="3"/>
              <w:spacing w:line="360" w:lineRule="auto"/>
              <w:ind w:firstLine="480"/>
              <w:rPr>
                <w:rFonts w:ascii="宋体" w:hAnsi="宋体" w:eastAsia="宋体" w:cs="宋体"/>
                <w:kern w:val="0"/>
                <w:szCs w:val="24"/>
              </w:rPr>
            </w:pPr>
          </w:p>
        </w:tc>
        <w:tc>
          <w:tcPr>
            <w:tcW w:w="1230" w:type="dxa"/>
          </w:tcPr>
          <w:p>
            <w:pPr>
              <w:pStyle w:val="3"/>
              <w:spacing w:line="360" w:lineRule="auto"/>
              <w:ind w:firstLine="480"/>
              <w:rPr>
                <w:rFonts w:ascii="宋体" w:hAnsi="宋体" w:eastAsia="宋体" w:cs="宋体"/>
                <w:kern w:val="0"/>
                <w:szCs w:val="24"/>
              </w:rPr>
            </w:pPr>
          </w:p>
        </w:tc>
        <w:tc>
          <w:tcPr>
            <w:tcW w:w="960" w:type="dxa"/>
          </w:tcPr>
          <w:p>
            <w:pPr>
              <w:pStyle w:val="3"/>
              <w:spacing w:line="360" w:lineRule="auto"/>
              <w:ind w:firstLine="480"/>
              <w:rPr>
                <w:rFonts w:ascii="宋体" w:hAnsi="宋体" w:eastAsia="宋体" w:cs="宋体"/>
                <w:kern w:val="0"/>
                <w:szCs w:val="24"/>
              </w:rPr>
            </w:pPr>
          </w:p>
        </w:tc>
        <w:tc>
          <w:tcPr>
            <w:tcW w:w="1245" w:type="dxa"/>
          </w:tcPr>
          <w:p>
            <w:pPr>
              <w:pStyle w:val="3"/>
              <w:spacing w:line="360" w:lineRule="auto"/>
              <w:ind w:firstLine="480"/>
              <w:rPr>
                <w:rFonts w:ascii="宋体" w:hAnsi="宋体" w:eastAsia="宋体" w:cs="宋体"/>
                <w:kern w:val="0"/>
                <w:szCs w:val="24"/>
              </w:rPr>
            </w:pPr>
          </w:p>
        </w:tc>
        <w:tc>
          <w:tcPr>
            <w:tcW w:w="1305" w:type="dxa"/>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pPr>
              <w:pStyle w:val="3"/>
              <w:spacing w:line="360" w:lineRule="auto"/>
              <w:ind w:firstLine="480"/>
              <w:rPr>
                <w:rFonts w:ascii="宋体" w:hAnsi="宋体" w:eastAsia="宋体" w:cs="宋体"/>
                <w:kern w:val="0"/>
                <w:szCs w:val="24"/>
              </w:rPr>
            </w:pPr>
          </w:p>
        </w:tc>
        <w:tc>
          <w:tcPr>
            <w:tcW w:w="784" w:type="dxa"/>
          </w:tcPr>
          <w:p>
            <w:pPr>
              <w:pStyle w:val="3"/>
              <w:spacing w:line="360" w:lineRule="auto"/>
              <w:ind w:firstLine="480"/>
              <w:rPr>
                <w:rFonts w:ascii="宋体" w:hAnsi="宋体" w:eastAsia="宋体" w:cs="宋体"/>
                <w:kern w:val="0"/>
                <w:szCs w:val="24"/>
              </w:rPr>
            </w:pPr>
          </w:p>
        </w:tc>
        <w:tc>
          <w:tcPr>
            <w:tcW w:w="1563" w:type="dxa"/>
          </w:tcPr>
          <w:p>
            <w:pPr>
              <w:pStyle w:val="3"/>
              <w:spacing w:line="360" w:lineRule="auto"/>
              <w:ind w:firstLine="480"/>
              <w:rPr>
                <w:rFonts w:ascii="宋体" w:hAnsi="宋体" w:eastAsia="宋体" w:cs="宋体"/>
                <w:kern w:val="0"/>
                <w:szCs w:val="24"/>
              </w:rPr>
            </w:pPr>
          </w:p>
        </w:tc>
        <w:tc>
          <w:tcPr>
            <w:tcW w:w="963" w:type="dxa"/>
          </w:tcPr>
          <w:p>
            <w:pPr>
              <w:pStyle w:val="3"/>
              <w:spacing w:line="360" w:lineRule="auto"/>
              <w:ind w:firstLine="480"/>
              <w:rPr>
                <w:rFonts w:ascii="宋体" w:hAnsi="宋体" w:eastAsia="宋体" w:cs="宋体"/>
                <w:kern w:val="0"/>
                <w:szCs w:val="24"/>
              </w:rPr>
            </w:pPr>
          </w:p>
        </w:tc>
        <w:tc>
          <w:tcPr>
            <w:tcW w:w="1457" w:type="dxa"/>
          </w:tcPr>
          <w:p>
            <w:pPr>
              <w:pStyle w:val="3"/>
              <w:spacing w:line="360" w:lineRule="auto"/>
              <w:ind w:firstLine="480"/>
              <w:rPr>
                <w:rFonts w:ascii="宋体" w:hAnsi="宋体" w:eastAsia="宋体" w:cs="宋体"/>
                <w:kern w:val="0"/>
                <w:szCs w:val="24"/>
              </w:rPr>
            </w:pPr>
          </w:p>
        </w:tc>
        <w:tc>
          <w:tcPr>
            <w:tcW w:w="1450" w:type="dxa"/>
          </w:tcPr>
          <w:p>
            <w:pPr>
              <w:pStyle w:val="3"/>
              <w:spacing w:line="360" w:lineRule="auto"/>
              <w:ind w:firstLine="480"/>
              <w:rPr>
                <w:rFonts w:ascii="宋体" w:hAnsi="宋体" w:eastAsia="宋体" w:cs="宋体"/>
                <w:kern w:val="0"/>
                <w:szCs w:val="24"/>
              </w:rPr>
            </w:pPr>
          </w:p>
        </w:tc>
        <w:tc>
          <w:tcPr>
            <w:tcW w:w="1740" w:type="dxa"/>
          </w:tcPr>
          <w:p>
            <w:pPr>
              <w:pStyle w:val="3"/>
              <w:spacing w:line="360" w:lineRule="auto"/>
              <w:ind w:firstLine="480"/>
              <w:rPr>
                <w:rFonts w:ascii="宋体" w:hAnsi="宋体" w:eastAsia="宋体" w:cs="宋体"/>
                <w:kern w:val="0"/>
                <w:szCs w:val="24"/>
              </w:rPr>
            </w:pPr>
          </w:p>
        </w:tc>
        <w:tc>
          <w:tcPr>
            <w:tcW w:w="1230" w:type="dxa"/>
          </w:tcPr>
          <w:p>
            <w:pPr>
              <w:pStyle w:val="3"/>
              <w:spacing w:line="360" w:lineRule="auto"/>
              <w:ind w:firstLine="480"/>
              <w:rPr>
                <w:rFonts w:ascii="宋体" w:hAnsi="宋体" w:eastAsia="宋体" w:cs="宋体"/>
                <w:kern w:val="0"/>
                <w:szCs w:val="24"/>
              </w:rPr>
            </w:pPr>
          </w:p>
        </w:tc>
        <w:tc>
          <w:tcPr>
            <w:tcW w:w="960" w:type="dxa"/>
          </w:tcPr>
          <w:p>
            <w:pPr>
              <w:pStyle w:val="3"/>
              <w:spacing w:line="360" w:lineRule="auto"/>
              <w:ind w:firstLine="480"/>
              <w:rPr>
                <w:rFonts w:ascii="宋体" w:hAnsi="宋体" w:eastAsia="宋体" w:cs="宋体"/>
                <w:kern w:val="0"/>
                <w:szCs w:val="24"/>
              </w:rPr>
            </w:pPr>
          </w:p>
        </w:tc>
        <w:tc>
          <w:tcPr>
            <w:tcW w:w="1245" w:type="dxa"/>
          </w:tcPr>
          <w:p>
            <w:pPr>
              <w:pStyle w:val="3"/>
              <w:spacing w:line="360" w:lineRule="auto"/>
              <w:ind w:firstLine="480"/>
              <w:rPr>
                <w:rFonts w:ascii="宋体" w:hAnsi="宋体" w:eastAsia="宋体" w:cs="宋体"/>
                <w:kern w:val="0"/>
                <w:szCs w:val="24"/>
              </w:rPr>
            </w:pPr>
          </w:p>
        </w:tc>
        <w:tc>
          <w:tcPr>
            <w:tcW w:w="1305" w:type="dxa"/>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pPr>
              <w:pStyle w:val="3"/>
              <w:spacing w:line="360" w:lineRule="auto"/>
              <w:ind w:firstLine="480"/>
              <w:rPr>
                <w:rFonts w:ascii="宋体" w:hAnsi="宋体" w:eastAsia="宋体" w:cs="宋体"/>
                <w:kern w:val="0"/>
                <w:szCs w:val="24"/>
              </w:rPr>
            </w:pPr>
          </w:p>
        </w:tc>
        <w:tc>
          <w:tcPr>
            <w:tcW w:w="784" w:type="dxa"/>
          </w:tcPr>
          <w:p>
            <w:pPr>
              <w:pStyle w:val="3"/>
              <w:spacing w:line="360" w:lineRule="auto"/>
              <w:ind w:firstLine="480"/>
              <w:rPr>
                <w:rFonts w:ascii="宋体" w:hAnsi="宋体" w:eastAsia="宋体" w:cs="宋体"/>
                <w:kern w:val="0"/>
                <w:szCs w:val="24"/>
              </w:rPr>
            </w:pPr>
          </w:p>
        </w:tc>
        <w:tc>
          <w:tcPr>
            <w:tcW w:w="1563" w:type="dxa"/>
          </w:tcPr>
          <w:p>
            <w:pPr>
              <w:pStyle w:val="3"/>
              <w:spacing w:line="360" w:lineRule="auto"/>
              <w:ind w:firstLine="480"/>
              <w:rPr>
                <w:rFonts w:ascii="宋体" w:hAnsi="宋体" w:eastAsia="宋体" w:cs="宋体"/>
                <w:kern w:val="0"/>
                <w:szCs w:val="24"/>
              </w:rPr>
            </w:pPr>
          </w:p>
        </w:tc>
        <w:tc>
          <w:tcPr>
            <w:tcW w:w="963" w:type="dxa"/>
          </w:tcPr>
          <w:p>
            <w:pPr>
              <w:pStyle w:val="3"/>
              <w:spacing w:line="360" w:lineRule="auto"/>
              <w:ind w:firstLine="480"/>
              <w:rPr>
                <w:rFonts w:ascii="宋体" w:hAnsi="宋体" w:eastAsia="宋体" w:cs="宋体"/>
                <w:kern w:val="0"/>
                <w:szCs w:val="24"/>
              </w:rPr>
            </w:pPr>
          </w:p>
        </w:tc>
        <w:tc>
          <w:tcPr>
            <w:tcW w:w="1457" w:type="dxa"/>
          </w:tcPr>
          <w:p>
            <w:pPr>
              <w:pStyle w:val="3"/>
              <w:spacing w:line="360" w:lineRule="auto"/>
              <w:ind w:firstLine="480"/>
              <w:rPr>
                <w:rFonts w:ascii="宋体" w:hAnsi="宋体" w:eastAsia="宋体" w:cs="宋体"/>
                <w:kern w:val="0"/>
                <w:szCs w:val="24"/>
              </w:rPr>
            </w:pPr>
          </w:p>
        </w:tc>
        <w:tc>
          <w:tcPr>
            <w:tcW w:w="1450" w:type="dxa"/>
          </w:tcPr>
          <w:p>
            <w:pPr>
              <w:pStyle w:val="3"/>
              <w:spacing w:line="360" w:lineRule="auto"/>
              <w:ind w:firstLine="480"/>
              <w:rPr>
                <w:rFonts w:ascii="宋体" w:hAnsi="宋体" w:eastAsia="宋体" w:cs="宋体"/>
                <w:kern w:val="0"/>
                <w:szCs w:val="24"/>
              </w:rPr>
            </w:pPr>
          </w:p>
        </w:tc>
        <w:tc>
          <w:tcPr>
            <w:tcW w:w="1740" w:type="dxa"/>
          </w:tcPr>
          <w:p>
            <w:pPr>
              <w:pStyle w:val="3"/>
              <w:spacing w:line="360" w:lineRule="auto"/>
              <w:ind w:firstLine="480"/>
              <w:rPr>
                <w:rFonts w:ascii="宋体" w:hAnsi="宋体" w:eastAsia="宋体" w:cs="宋体"/>
                <w:kern w:val="0"/>
                <w:szCs w:val="24"/>
              </w:rPr>
            </w:pPr>
          </w:p>
        </w:tc>
        <w:tc>
          <w:tcPr>
            <w:tcW w:w="1230" w:type="dxa"/>
          </w:tcPr>
          <w:p>
            <w:pPr>
              <w:pStyle w:val="3"/>
              <w:spacing w:line="360" w:lineRule="auto"/>
              <w:ind w:firstLine="480"/>
              <w:rPr>
                <w:rFonts w:ascii="宋体" w:hAnsi="宋体" w:eastAsia="宋体" w:cs="宋体"/>
                <w:kern w:val="0"/>
                <w:szCs w:val="24"/>
              </w:rPr>
            </w:pPr>
          </w:p>
        </w:tc>
        <w:tc>
          <w:tcPr>
            <w:tcW w:w="960" w:type="dxa"/>
          </w:tcPr>
          <w:p>
            <w:pPr>
              <w:pStyle w:val="3"/>
              <w:spacing w:line="360" w:lineRule="auto"/>
              <w:ind w:firstLine="480"/>
              <w:rPr>
                <w:rFonts w:ascii="宋体" w:hAnsi="宋体" w:eastAsia="宋体" w:cs="宋体"/>
                <w:kern w:val="0"/>
                <w:szCs w:val="24"/>
              </w:rPr>
            </w:pPr>
          </w:p>
        </w:tc>
        <w:tc>
          <w:tcPr>
            <w:tcW w:w="1245" w:type="dxa"/>
          </w:tcPr>
          <w:p>
            <w:pPr>
              <w:pStyle w:val="3"/>
              <w:spacing w:line="360" w:lineRule="auto"/>
              <w:ind w:firstLine="480"/>
              <w:rPr>
                <w:rFonts w:ascii="宋体" w:hAnsi="宋体" w:eastAsia="宋体" w:cs="宋体"/>
                <w:kern w:val="0"/>
                <w:szCs w:val="24"/>
              </w:rPr>
            </w:pPr>
          </w:p>
        </w:tc>
        <w:tc>
          <w:tcPr>
            <w:tcW w:w="1305" w:type="dxa"/>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pPr>
              <w:pStyle w:val="3"/>
              <w:spacing w:line="360" w:lineRule="auto"/>
              <w:ind w:firstLine="480"/>
              <w:rPr>
                <w:rFonts w:ascii="宋体" w:hAnsi="宋体" w:eastAsia="宋体" w:cs="宋体"/>
                <w:kern w:val="0"/>
                <w:szCs w:val="24"/>
              </w:rPr>
            </w:pPr>
          </w:p>
        </w:tc>
        <w:tc>
          <w:tcPr>
            <w:tcW w:w="784" w:type="dxa"/>
          </w:tcPr>
          <w:p>
            <w:pPr>
              <w:pStyle w:val="3"/>
              <w:spacing w:line="360" w:lineRule="auto"/>
              <w:ind w:firstLine="480"/>
              <w:rPr>
                <w:rFonts w:ascii="宋体" w:hAnsi="宋体" w:eastAsia="宋体" w:cs="宋体"/>
                <w:kern w:val="0"/>
                <w:szCs w:val="24"/>
              </w:rPr>
            </w:pPr>
          </w:p>
        </w:tc>
        <w:tc>
          <w:tcPr>
            <w:tcW w:w="1563" w:type="dxa"/>
          </w:tcPr>
          <w:p>
            <w:pPr>
              <w:pStyle w:val="3"/>
              <w:spacing w:line="360" w:lineRule="auto"/>
              <w:ind w:firstLine="480"/>
              <w:rPr>
                <w:rFonts w:ascii="宋体" w:hAnsi="宋体" w:eastAsia="宋体" w:cs="宋体"/>
                <w:kern w:val="0"/>
                <w:szCs w:val="24"/>
              </w:rPr>
            </w:pPr>
          </w:p>
        </w:tc>
        <w:tc>
          <w:tcPr>
            <w:tcW w:w="963" w:type="dxa"/>
          </w:tcPr>
          <w:p>
            <w:pPr>
              <w:pStyle w:val="3"/>
              <w:spacing w:line="360" w:lineRule="auto"/>
              <w:ind w:firstLine="480"/>
              <w:rPr>
                <w:rFonts w:ascii="宋体" w:hAnsi="宋体" w:eastAsia="宋体" w:cs="宋体"/>
                <w:kern w:val="0"/>
                <w:szCs w:val="24"/>
              </w:rPr>
            </w:pPr>
          </w:p>
        </w:tc>
        <w:tc>
          <w:tcPr>
            <w:tcW w:w="1457" w:type="dxa"/>
          </w:tcPr>
          <w:p>
            <w:pPr>
              <w:pStyle w:val="3"/>
              <w:spacing w:line="360" w:lineRule="auto"/>
              <w:ind w:firstLine="480"/>
              <w:rPr>
                <w:rFonts w:ascii="宋体" w:hAnsi="宋体" w:eastAsia="宋体" w:cs="宋体"/>
                <w:kern w:val="0"/>
                <w:szCs w:val="24"/>
              </w:rPr>
            </w:pPr>
          </w:p>
        </w:tc>
        <w:tc>
          <w:tcPr>
            <w:tcW w:w="1450" w:type="dxa"/>
          </w:tcPr>
          <w:p>
            <w:pPr>
              <w:pStyle w:val="3"/>
              <w:spacing w:line="360" w:lineRule="auto"/>
              <w:ind w:firstLine="480"/>
              <w:rPr>
                <w:rFonts w:ascii="宋体" w:hAnsi="宋体" w:eastAsia="宋体" w:cs="宋体"/>
                <w:kern w:val="0"/>
                <w:szCs w:val="24"/>
              </w:rPr>
            </w:pPr>
          </w:p>
        </w:tc>
        <w:tc>
          <w:tcPr>
            <w:tcW w:w="1740" w:type="dxa"/>
          </w:tcPr>
          <w:p>
            <w:pPr>
              <w:pStyle w:val="3"/>
              <w:spacing w:line="360" w:lineRule="auto"/>
              <w:ind w:firstLine="480"/>
              <w:rPr>
                <w:rFonts w:ascii="宋体" w:hAnsi="宋体" w:eastAsia="宋体" w:cs="宋体"/>
                <w:kern w:val="0"/>
                <w:szCs w:val="24"/>
              </w:rPr>
            </w:pPr>
          </w:p>
        </w:tc>
        <w:tc>
          <w:tcPr>
            <w:tcW w:w="1230" w:type="dxa"/>
          </w:tcPr>
          <w:p>
            <w:pPr>
              <w:pStyle w:val="3"/>
              <w:spacing w:line="360" w:lineRule="auto"/>
              <w:ind w:firstLine="480"/>
              <w:rPr>
                <w:rFonts w:ascii="宋体" w:hAnsi="宋体" w:eastAsia="宋体" w:cs="宋体"/>
                <w:kern w:val="0"/>
                <w:szCs w:val="24"/>
              </w:rPr>
            </w:pPr>
          </w:p>
        </w:tc>
        <w:tc>
          <w:tcPr>
            <w:tcW w:w="960" w:type="dxa"/>
          </w:tcPr>
          <w:p>
            <w:pPr>
              <w:pStyle w:val="3"/>
              <w:spacing w:line="360" w:lineRule="auto"/>
              <w:ind w:firstLine="480"/>
              <w:rPr>
                <w:rFonts w:ascii="宋体" w:hAnsi="宋体" w:eastAsia="宋体" w:cs="宋体"/>
                <w:kern w:val="0"/>
                <w:szCs w:val="24"/>
              </w:rPr>
            </w:pPr>
          </w:p>
        </w:tc>
        <w:tc>
          <w:tcPr>
            <w:tcW w:w="1245" w:type="dxa"/>
          </w:tcPr>
          <w:p>
            <w:pPr>
              <w:pStyle w:val="3"/>
              <w:spacing w:line="360" w:lineRule="auto"/>
              <w:ind w:firstLine="480"/>
              <w:rPr>
                <w:rFonts w:ascii="宋体" w:hAnsi="宋体" w:eastAsia="宋体" w:cs="宋体"/>
                <w:kern w:val="0"/>
                <w:szCs w:val="24"/>
              </w:rPr>
            </w:pPr>
          </w:p>
        </w:tc>
        <w:tc>
          <w:tcPr>
            <w:tcW w:w="1305" w:type="dxa"/>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pPr>
              <w:pStyle w:val="3"/>
              <w:spacing w:line="360" w:lineRule="auto"/>
              <w:ind w:firstLine="480"/>
              <w:rPr>
                <w:rFonts w:ascii="宋体" w:hAnsi="宋体" w:eastAsia="宋体" w:cs="宋体"/>
                <w:kern w:val="0"/>
                <w:szCs w:val="24"/>
              </w:rPr>
            </w:pPr>
          </w:p>
        </w:tc>
        <w:tc>
          <w:tcPr>
            <w:tcW w:w="784" w:type="dxa"/>
          </w:tcPr>
          <w:p>
            <w:pPr>
              <w:pStyle w:val="3"/>
              <w:spacing w:line="360" w:lineRule="auto"/>
              <w:ind w:firstLine="480"/>
              <w:rPr>
                <w:rFonts w:ascii="宋体" w:hAnsi="宋体" w:eastAsia="宋体" w:cs="宋体"/>
                <w:kern w:val="0"/>
                <w:szCs w:val="24"/>
              </w:rPr>
            </w:pPr>
          </w:p>
        </w:tc>
        <w:tc>
          <w:tcPr>
            <w:tcW w:w="1563" w:type="dxa"/>
          </w:tcPr>
          <w:p>
            <w:pPr>
              <w:pStyle w:val="3"/>
              <w:spacing w:line="360" w:lineRule="auto"/>
              <w:ind w:firstLine="480"/>
              <w:rPr>
                <w:rFonts w:ascii="宋体" w:hAnsi="宋体" w:eastAsia="宋体" w:cs="宋体"/>
                <w:kern w:val="0"/>
                <w:szCs w:val="24"/>
              </w:rPr>
            </w:pPr>
          </w:p>
        </w:tc>
        <w:tc>
          <w:tcPr>
            <w:tcW w:w="963" w:type="dxa"/>
          </w:tcPr>
          <w:p>
            <w:pPr>
              <w:pStyle w:val="3"/>
              <w:spacing w:line="360" w:lineRule="auto"/>
              <w:ind w:firstLine="480"/>
              <w:rPr>
                <w:rFonts w:ascii="宋体" w:hAnsi="宋体" w:eastAsia="宋体" w:cs="宋体"/>
                <w:kern w:val="0"/>
                <w:szCs w:val="24"/>
              </w:rPr>
            </w:pPr>
          </w:p>
        </w:tc>
        <w:tc>
          <w:tcPr>
            <w:tcW w:w="1457" w:type="dxa"/>
          </w:tcPr>
          <w:p>
            <w:pPr>
              <w:pStyle w:val="3"/>
              <w:spacing w:line="360" w:lineRule="auto"/>
              <w:ind w:firstLine="480"/>
              <w:rPr>
                <w:rFonts w:ascii="宋体" w:hAnsi="宋体" w:eastAsia="宋体" w:cs="宋体"/>
                <w:kern w:val="0"/>
                <w:szCs w:val="24"/>
              </w:rPr>
            </w:pPr>
          </w:p>
        </w:tc>
        <w:tc>
          <w:tcPr>
            <w:tcW w:w="1450" w:type="dxa"/>
          </w:tcPr>
          <w:p>
            <w:pPr>
              <w:pStyle w:val="3"/>
              <w:spacing w:line="360" w:lineRule="auto"/>
              <w:ind w:firstLine="480"/>
              <w:rPr>
                <w:rFonts w:ascii="宋体" w:hAnsi="宋体" w:eastAsia="宋体" w:cs="宋体"/>
                <w:kern w:val="0"/>
                <w:szCs w:val="24"/>
              </w:rPr>
            </w:pPr>
          </w:p>
        </w:tc>
        <w:tc>
          <w:tcPr>
            <w:tcW w:w="1740" w:type="dxa"/>
          </w:tcPr>
          <w:p>
            <w:pPr>
              <w:pStyle w:val="3"/>
              <w:spacing w:line="360" w:lineRule="auto"/>
              <w:ind w:firstLine="480"/>
              <w:rPr>
                <w:rFonts w:ascii="宋体" w:hAnsi="宋体" w:eastAsia="宋体" w:cs="宋体"/>
                <w:kern w:val="0"/>
                <w:szCs w:val="24"/>
              </w:rPr>
            </w:pPr>
          </w:p>
        </w:tc>
        <w:tc>
          <w:tcPr>
            <w:tcW w:w="1230" w:type="dxa"/>
          </w:tcPr>
          <w:p>
            <w:pPr>
              <w:pStyle w:val="3"/>
              <w:spacing w:line="360" w:lineRule="auto"/>
              <w:ind w:firstLine="480"/>
              <w:rPr>
                <w:rFonts w:ascii="宋体" w:hAnsi="宋体" w:eastAsia="宋体" w:cs="宋体"/>
                <w:kern w:val="0"/>
                <w:szCs w:val="24"/>
              </w:rPr>
            </w:pPr>
          </w:p>
        </w:tc>
        <w:tc>
          <w:tcPr>
            <w:tcW w:w="960" w:type="dxa"/>
          </w:tcPr>
          <w:p>
            <w:pPr>
              <w:pStyle w:val="3"/>
              <w:spacing w:line="360" w:lineRule="auto"/>
              <w:ind w:firstLine="480"/>
              <w:rPr>
                <w:rFonts w:ascii="宋体" w:hAnsi="宋体" w:eastAsia="宋体" w:cs="宋体"/>
                <w:kern w:val="0"/>
                <w:szCs w:val="24"/>
              </w:rPr>
            </w:pPr>
          </w:p>
        </w:tc>
        <w:tc>
          <w:tcPr>
            <w:tcW w:w="1245" w:type="dxa"/>
          </w:tcPr>
          <w:p>
            <w:pPr>
              <w:pStyle w:val="3"/>
              <w:spacing w:line="360" w:lineRule="auto"/>
              <w:ind w:firstLine="480"/>
              <w:rPr>
                <w:rFonts w:ascii="宋体" w:hAnsi="宋体" w:eastAsia="宋体" w:cs="宋体"/>
                <w:kern w:val="0"/>
                <w:szCs w:val="24"/>
              </w:rPr>
            </w:pPr>
          </w:p>
        </w:tc>
        <w:tc>
          <w:tcPr>
            <w:tcW w:w="1305" w:type="dxa"/>
          </w:tcPr>
          <w:p>
            <w:pPr>
              <w:pStyle w:val="3"/>
              <w:spacing w:line="360" w:lineRule="auto"/>
              <w:ind w:firstLine="480"/>
              <w:rPr>
                <w:rFonts w:ascii="宋体" w:hAnsi="宋体" w:eastAsia="宋体" w:cs="宋体"/>
                <w:kern w:val="0"/>
                <w:szCs w:val="24"/>
              </w:rPr>
            </w:pPr>
          </w:p>
        </w:tc>
      </w:tr>
    </w:tbl>
    <w:p>
      <w:pPr>
        <w:pStyle w:val="3"/>
        <w:spacing w:line="360" w:lineRule="auto"/>
        <w:ind w:firstLine="0" w:firstLineChars="0"/>
        <w:rPr>
          <w:rFonts w:ascii="宋体" w:hAnsi="宋体" w:eastAsia="宋体" w:cs="宋体"/>
          <w:kern w:val="0"/>
          <w:szCs w:val="24"/>
        </w:rPr>
      </w:pPr>
    </w:p>
    <w:p>
      <w:pPr>
        <w:ind w:firstLine="480"/>
        <w:sectPr>
          <w:headerReference r:id="rId23" w:type="first"/>
          <w:footerReference r:id="rId25" w:type="first"/>
          <w:headerReference r:id="rId21" w:type="default"/>
          <w:headerReference r:id="rId22" w:type="even"/>
          <w:footerReference r:id="rId24" w:type="even"/>
          <w:pgSz w:w="16838" w:h="11906" w:orient="landscape"/>
          <w:pgMar w:top="1800" w:right="1440" w:bottom="1800" w:left="1440" w:header="851" w:footer="992" w:gutter="0"/>
          <w:cols w:space="0" w:num="1"/>
          <w:docGrid w:type="lines" w:linePitch="435" w:charSpace="0"/>
        </w:sectPr>
      </w:pPr>
    </w:p>
    <w:p>
      <w:pPr>
        <w:pStyle w:val="28"/>
        <w:spacing w:before="435" w:line="360" w:lineRule="auto"/>
        <w:outlineLvl w:val="2"/>
      </w:pPr>
      <w:bookmarkStart w:id="333" w:name="_Toc130905513"/>
      <w:bookmarkStart w:id="334" w:name="_Toc1040903778"/>
      <w:bookmarkStart w:id="335" w:name="_Toc138949368"/>
      <w:bookmarkStart w:id="336" w:name="_Toc1840080290"/>
      <w:bookmarkStart w:id="337" w:name="_Toc548309738"/>
      <w:bookmarkStart w:id="338" w:name="_Toc1981522759"/>
      <w:bookmarkStart w:id="339" w:name="_Toc2012574704"/>
      <w:bookmarkStart w:id="340" w:name="_Toc547574496"/>
      <w:bookmarkStart w:id="341" w:name="_Toc353768931"/>
      <w:r>
        <w:rPr>
          <w:rFonts w:hint="eastAsia"/>
        </w:rPr>
        <w:t>（六）租赁用房信息明细表</w:t>
      </w:r>
      <w:bookmarkEnd w:id="333"/>
      <w:bookmarkEnd w:id="334"/>
      <w:bookmarkEnd w:id="335"/>
      <w:bookmarkEnd w:id="336"/>
      <w:bookmarkEnd w:id="337"/>
      <w:bookmarkEnd w:id="338"/>
      <w:bookmarkEnd w:id="339"/>
    </w:p>
    <w:tbl>
      <w:tblPr>
        <w:tblStyle w:val="23"/>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15"/>
        <w:gridCol w:w="1005"/>
        <w:gridCol w:w="975"/>
        <w:gridCol w:w="2775"/>
        <w:gridCol w:w="1837"/>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181" w:type="dxa"/>
            <w:gridSpan w:val="2"/>
          </w:tcPr>
          <w:p>
            <w:pPr>
              <w:ind w:firstLine="0" w:firstLineChars="0"/>
              <w:jc w:val="center"/>
              <w:rPr>
                <w:rFonts w:ascii="宋体" w:hAnsi="宋体"/>
                <w:szCs w:val="24"/>
              </w:rPr>
            </w:pPr>
            <w:r>
              <w:rPr>
                <w:rFonts w:hint="eastAsia" w:ascii="黑体" w:eastAsia="黑体"/>
                <w:szCs w:val="24"/>
              </w:rPr>
              <w:t>合同名称</w:t>
            </w:r>
          </w:p>
        </w:tc>
        <w:tc>
          <w:tcPr>
            <w:tcW w:w="7927" w:type="dxa"/>
            <w:gridSpan w:val="5"/>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gridSpan w:val="2"/>
          </w:tcPr>
          <w:p>
            <w:pPr>
              <w:ind w:firstLine="0" w:firstLineChars="0"/>
              <w:jc w:val="center"/>
              <w:rPr>
                <w:rFonts w:ascii="宋体" w:hAnsi="宋体"/>
                <w:szCs w:val="24"/>
              </w:rPr>
            </w:pPr>
            <w:r>
              <w:rPr>
                <w:rFonts w:hint="eastAsia" w:ascii="黑体" w:eastAsia="黑体"/>
                <w:szCs w:val="24"/>
              </w:rPr>
              <w:t>物业名称</w:t>
            </w:r>
          </w:p>
        </w:tc>
        <w:tc>
          <w:tcPr>
            <w:tcW w:w="7927" w:type="dxa"/>
            <w:gridSpan w:val="5"/>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gridSpan w:val="2"/>
          </w:tcPr>
          <w:p>
            <w:pPr>
              <w:ind w:firstLine="0" w:firstLineChars="0"/>
              <w:jc w:val="center"/>
              <w:rPr>
                <w:rFonts w:ascii="宋体" w:hAnsi="宋体"/>
                <w:szCs w:val="24"/>
              </w:rPr>
            </w:pPr>
            <w:r>
              <w:rPr>
                <w:rFonts w:hint="eastAsia" w:ascii="黑体" w:eastAsia="黑体"/>
                <w:szCs w:val="24"/>
              </w:rPr>
              <w:t>物业地址</w:t>
            </w:r>
          </w:p>
        </w:tc>
        <w:tc>
          <w:tcPr>
            <w:tcW w:w="7927" w:type="dxa"/>
            <w:gridSpan w:val="5"/>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gridSpan w:val="2"/>
            <w:vAlign w:val="center"/>
          </w:tcPr>
          <w:p>
            <w:pPr>
              <w:ind w:firstLine="0" w:firstLineChars="0"/>
              <w:jc w:val="center"/>
              <w:rPr>
                <w:rFonts w:ascii="宋体" w:hAnsi="宋体"/>
                <w:szCs w:val="24"/>
              </w:rPr>
            </w:pPr>
            <w:r>
              <w:rPr>
                <w:rFonts w:hint="eastAsia" w:ascii="黑体" w:eastAsia="黑体"/>
                <w:szCs w:val="24"/>
              </w:rPr>
              <w:t>起租时间</w:t>
            </w:r>
          </w:p>
        </w:tc>
        <w:tc>
          <w:tcPr>
            <w:tcW w:w="4755" w:type="dxa"/>
            <w:gridSpan w:val="3"/>
            <w:vAlign w:val="center"/>
          </w:tcPr>
          <w:p>
            <w:pPr>
              <w:ind w:firstLine="480"/>
              <w:jc w:val="left"/>
              <w:rPr>
                <w:rFonts w:ascii="宋体" w:hAnsi="宋体"/>
                <w:szCs w:val="24"/>
              </w:rPr>
            </w:pPr>
            <w:r>
              <w:rPr>
                <w:rFonts w:hint="eastAsia" w:ascii="宋体" w:hAnsi="宋体"/>
                <w:bCs/>
                <w:szCs w:val="24"/>
              </w:rPr>
              <w:t>年</w:t>
            </w:r>
            <w:r>
              <w:rPr>
                <w:rFonts w:ascii="宋体" w:hAnsi="宋体"/>
                <w:bCs/>
                <w:szCs w:val="24"/>
              </w:rPr>
              <w:t xml:space="preserve">  </w:t>
            </w:r>
            <w:r>
              <w:rPr>
                <w:rFonts w:hint="eastAsia" w:ascii="宋体" w:hAnsi="宋体"/>
                <w:bCs/>
                <w:szCs w:val="24"/>
              </w:rPr>
              <w:t>月</w:t>
            </w:r>
            <w:r>
              <w:rPr>
                <w:rFonts w:ascii="宋体" w:hAnsi="宋体"/>
                <w:bCs/>
                <w:szCs w:val="24"/>
              </w:rPr>
              <w:t xml:space="preserve">  </w:t>
            </w:r>
            <w:r>
              <w:rPr>
                <w:rFonts w:hint="eastAsia" w:ascii="宋体" w:hAnsi="宋体"/>
                <w:bCs/>
                <w:szCs w:val="24"/>
              </w:rPr>
              <w:t>日</w:t>
            </w:r>
          </w:p>
        </w:tc>
        <w:tc>
          <w:tcPr>
            <w:tcW w:w="1837" w:type="dxa"/>
          </w:tcPr>
          <w:p>
            <w:pPr>
              <w:ind w:firstLine="0" w:firstLineChars="0"/>
              <w:rPr>
                <w:rFonts w:ascii="宋体" w:hAnsi="宋体"/>
                <w:szCs w:val="24"/>
              </w:rPr>
            </w:pPr>
            <w:r>
              <w:rPr>
                <w:rFonts w:hint="eastAsia" w:ascii="黑体" w:eastAsia="黑体"/>
                <w:szCs w:val="24"/>
              </w:rPr>
              <w:t>租赁面积</w:t>
            </w:r>
            <w:r>
              <w:rPr>
                <w:rFonts w:hint="eastAsia"/>
                <w:bCs/>
                <w:szCs w:val="24"/>
              </w:rPr>
              <w:t>（</w:t>
            </w:r>
            <w:r>
              <w:rPr>
                <w:bCs/>
                <w:szCs w:val="24"/>
              </w:rPr>
              <w:t>m</w:t>
            </w:r>
            <w:r>
              <w:rPr>
                <w:bCs/>
                <w:szCs w:val="24"/>
                <w:vertAlign w:val="superscript"/>
              </w:rPr>
              <w:t>2</w:t>
            </w:r>
            <w:r>
              <w:rPr>
                <w:rFonts w:hint="eastAsia"/>
                <w:bCs/>
                <w:szCs w:val="24"/>
              </w:rPr>
              <w:t>）</w:t>
            </w: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gridSpan w:val="3"/>
            <w:vAlign w:val="center"/>
          </w:tcPr>
          <w:p>
            <w:pPr>
              <w:spacing w:line="240" w:lineRule="auto"/>
              <w:ind w:firstLine="0" w:firstLineChars="0"/>
              <w:jc w:val="center"/>
              <w:rPr>
                <w:rFonts w:ascii="宋体" w:hAnsi="宋体"/>
                <w:szCs w:val="24"/>
              </w:rPr>
            </w:pPr>
            <w:r>
              <w:rPr>
                <w:rFonts w:hint="eastAsia"/>
                <w:bCs/>
                <w:szCs w:val="24"/>
              </w:rPr>
              <w:t>申请资助时段</w:t>
            </w:r>
          </w:p>
        </w:tc>
        <w:tc>
          <w:tcPr>
            <w:tcW w:w="3750" w:type="dxa"/>
            <w:gridSpan w:val="2"/>
            <w:vAlign w:val="center"/>
          </w:tcPr>
          <w:p>
            <w:pPr>
              <w:spacing w:line="240" w:lineRule="auto"/>
              <w:ind w:firstLine="480"/>
              <w:jc w:val="center"/>
              <w:rPr>
                <w:rFonts w:ascii="宋体" w:hAnsi="宋体"/>
                <w:szCs w:val="24"/>
              </w:rPr>
            </w:pPr>
            <w:r>
              <w:rPr>
                <w:rFonts w:hint="eastAsia" w:ascii="宋体" w:hAnsi="宋体"/>
                <w:bCs/>
                <w:szCs w:val="24"/>
              </w:rPr>
              <w:t>年</w:t>
            </w:r>
            <w:r>
              <w:rPr>
                <w:rFonts w:ascii="宋体" w:hAnsi="宋体"/>
                <w:bCs/>
                <w:szCs w:val="24"/>
              </w:rPr>
              <w:t xml:space="preserve">  </w:t>
            </w:r>
            <w:r>
              <w:rPr>
                <w:rFonts w:hint="eastAsia" w:ascii="宋体" w:hAnsi="宋体"/>
                <w:bCs/>
                <w:szCs w:val="24"/>
              </w:rPr>
              <w:t>月</w:t>
            </w:r>
            <w:r>
              <w:rPr>
                <w:rFonts w:ascii="宋体" w:hAnsi="宋体"/>
                <w:bCs/>
                <w:szCs w:val="24"/>
              </w:rPr>
              <w:t xml:space="preserve">  </w:t>
            </w:r>
            <w:r>
              <w:rPr>
                <w:rFonts w:hint="eastAsia" w:ascii="宋体" w:hAnsi="宋体"/>
                <w:bCs/>
                <w:szCs w:val="24"/>
              </w:rPr>
              <w:t>日至</w:t>
            </w:r>
            <w:r>
              <w:rPr>
                <w:rFonts w:ascii="宋体" w:hAnsi="宋体"/>
                <w:bCs/>
                <w:szCs w:val="24"/>
              </w:rPr>
              <w:t xml:space="preserve">   </w:t>
            </w:r>
            <w:r>
              <w:rPr>
                <w:rFonts w:hint="eastAsia" w:ascii="宋体" w:hAnsi="宋体"/>
                <w:bCs/>
                <w:szCs w:val="24"/>
              </w:rPr>
              <w:t>年</w:t>
            </w:r>
            <w:r>
              <w:rPr>
                <w:rFonts w:ascii="宋体" w:hAnsi="宋体"/>
                <w:bCs/>
                <w:szCs w:val="24"/>
              </w:rPr>
              <w:t xml:space="preserve">  </w:t>
            </w:r>
            <w:r>
              <w:rPr>
                <w:rFonts w:hint="eastAsia" w:ascii="宋体" w:hAnsi="宋体"/>
                <w:bCs/>
                <w:szCs w:val="24"/>
              </w:rPr>
              <w:t>月</w:t>
            </w:r>
            <w:r>
              <w:rPr>
                <w:rFonts w:ascii="宋体" w:hAnsi="宋体"/>
                <w:bCs/>
                <w:szCs w:val="24"/>
              </w:rPr>
              <w:t xml:space="preserve">  </w:t>
            </w:r>
            <w:r>
              <w:rPr>
                <w:rFonts w:hint="eastAsia" w:ascii="宋体" w:hAnsi="宋体"/>
                <w:bCs/>
                <w:szCs w:val="24"/>
              </w:rPr>
              <w:t>日</w:t>
            </w:r>
          </w:p>
        </w:tc>
        <w:tc>
          <w:tcPr>
            <w:tcW w:w="1837" w:type="dxa"/>
          </w:tcPr>
          <w:p>
            <w:pPr>
              <w:spacing w:line="240" w:lineRule="auto"/>
              <w:ind w:firstLine="0" w:firstLineChars="0"/>
              <w:rPr>
                <w:rFonts w:ascii="宋体" w:hAnsi="宋体"/>
                <w:szCs w:val="24"/>
              </w:rPr>
            </w:pPr>
            <w:r>
              <w:rPr>
                <w:rFonts w:hint="eastAsia"/>
                <w:bCs/>
                <w:szCs w:val="24"/>
              </w:rPr>
              <w:t>申请资助时段租金合计（元）</w:t>
            </w:r>
          </w:p>
        </w:tc>
        <w:tc>
          <w:tcPr>
            <w:tcW w:w="1335" w:type="dxa"/>
          </w:tcPr>
          <w:p>
            <w:pPr>
              <w:spacing w:line="240" w:lineRule="auto"/>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pPr>
              <w:ind w:firstLine="0" w:firstLineChars="0"/>
              <w:jc w:val="center"/>
              <w:rPr>
                <w:rFonts w:ascii="黑体" w:eastAsia="黑体"/>
                <w:szCs w:val="24"/>
              </w:rPr>
            </w:pPr>
            <w:r>
              <w:rPr>
                <w:rFonts w:hint="eastAsia" w:ascii="黑体" w:eastAsia="黑体"/>
                <w:szCs w:val="24"/>
              </w:rPr>
              <w:t>序号</w:t>
            </w:r>
          </w:p>
        </w:tc>
        <w:tc>
          <w:tcPr>
            <w:tcW w:w="2295" w:type="dxa"/>
            <w:gridSpan w:val="3"/>
            <w:vAlign w:val="center"/>
          </w:tcPr>
          <w:p>
            <w:pPr>
              <w:ind w:firstLine="0" w:firstLineChars="0"/>
              <w:jc w:val="center"/>
              <w:rPr>
                <w:rFonts w:ascii="黑体" w:eastAsia="黑体"/>
                <w:szCs w:val="24"/>
              </w:rPr>
            </w:pPr>
            <w:r>
              <w:rPr>
                <w:rFonts w:hint="eastAsia" w:ascii="黑体" w:eastAsia="黑体"/>
                <w:szCs w:val="24"/>
              </w:rPr>
              <w:t>支付租金时段</w:t>
            </w:r>
          </w:p>
        </w:tc>
        <w:tc>
          <w:tcPr>
            <w:tcW w:w="2775" w:type="dxa"/>
            <w:vAlign w:val="center"/>
          </w:tcPr>
          <w:p>
            <w:pPr>
              <w:ind w:firstLine="0" w:firstLineChars="0"/>
              <w:jc w:val="center"/>
              <w:rPr>
                <w:rFonts w:ascii="黑体" w:eastAsia="黑体"/>
                <w:szCs w:val="24"/>
              </w:rPr>
            </w:pPr>
            <w:r>
              <w:rPr>
                <w:rFonts w:hint="eastAsia" w:ascii="黑体" w:eastAsia="黑体"/>
                <w:szCs w:val="24"/>
              </w:rPr>
              <w:t>发票时间</w:t>
            </w:r>
          </w:p>
        </w:tc>
        <w:tc>
          <w:tcPr>
            <w:tcW w:w="1837" w:type="dxa"/>
            <w:vAlign w:val="center"/>
          </w:tcPr>
          <w:p>
            <w:pPr>
              <w:ind w:firstLine="0" w:firstLineChars="0"/>
              <w:jc w:val="center"/>
              <w:rPr>
                <w:rFonts w:ascii="黑体" w:eastAsia="黑体"/>
                <w:szCs w:val="24"/>
              </w:rPr>
            </w:pPr>
            <w:r>
              <w:rPr>
                <w:rFonts w:hint="eastAsia" w:ascii="黑体" w:eastAsia="黑体"/>
                <w:szCs w:val="24"/>
              </w:rPr>
              <w:t>发票号</w:t>
            </w:r>
          </w:p>
        </w:tc>
        <w:tc>
          <w:tcPr>
            <w:tcW w:w="1335" w:type="dxa"/>
            <w:vAlign w:val="center"/>
          </w:tcPr>
          <w:p>
            <w:pPr>
              <w:ind w:firstLine="0" w:firstLineChars="0"/>
              <w:jc w:val="center"/>
              <w:rPr>
                <w:rFonts w:ascii="黑体" w:eastAsia="黑体"/>
                <w:szCs w:val="24"/>
              </w:rPr>
            </w:pPr>
            <w:r>
              <w:rPr>
                <w:rFonts w:hint="eastAsia" w:ascii="黑体" w:eastAsia="黑体"/>
                <w:szCs w:val="24"/>
              </w:rPr>
              <w:t>发票金额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6" w:type="dxa"/>
          </w:tcPr>
          <w:p>
            <w:pPr>
              <w:ind w:firstLine="480"/>
              <w:rPr>
                <w:rFonts w:ascii="宋体" w:hAnsi="宋体"/>
                <w:szCs w:val="24"/>
              </w:rPr>
            </w:pPr>
          </w:p>
        </w:tc>
        <w:tc>
          <w:tcPr>
            <w:tcW w:w="2295" w:type="dxa"/>
            <w:gridSpan w:val="3"/>
          </w:tcPr>
          <w:p>
            <w:pPr>
              <w:ind w:firstLine="480"/>
              <w:rPr>
                <w:rFonts w:ascii="宋体" w:hAnsi="宋体"/>
                <w:szCs w:val="24"/>
              </w:rPr>
            </w:pPr>
          </w:p>
        </w:tc>
        <w:tc>
          <w:tcPr>
            <w:tcW w:w="2775" w:type="dxa"/>
          </w:tcPr>
          <w:p>
            <w:pPr>
              <w:ind w:firstLine="480"/>
              <w:rPr>
                <w:rFonts w:ascii="宋体" w:hAnsi="宋体"/>
                <w:szCs w:val="24"/>
              </w:rPr>
            </w:pPr>
          </w:p>
        </w:tc>
        <w:tc>
          <w:tcPr>
            <w:tcW w:w="1837" w:type="dxa"/>
          </w:tcPr>
          <w:p>
            <w:pPr>
              <w:ind w:firstLine="480"/>
              <w:rPr>
                <w:rFonts w:ascii="宋体" w:hAnsi="宋体"/>
                <w:szCs w:val="24"/>
              </w:rPr>
            </w:pPr>
          </w:p>
        </w:tc>
        <w:tc>
          <w:tcPr>
            <w:tcW w:w="1335" w:type="dxa"/>
          </w:tcPr>
          <w:p>
            <w:pPr>
              <w:ind w:firstLine="48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3" w:type="dxa"/>
            <w:gridSpan w:val="6"/>
          </w:tcPr>
          <w:p>
            <w:pPr>
              <w:ind w:firstLine="480"/>
              <w:jc w:val="center"/>
              <w:rPr>
                <w:rFonts w:ascii="宋体" w:hAnsi="宋体"/>
                <w:szCs w:val="24"/>
              </w:rPr>
            </w:pPr>
            <w:r>
              <w:rPr>
                <w:rFonts w:hint="eastAsia" w:ascii="宋体" w:hAnsi="宋体"/>
                <w:szCs w:val="24"/>
              </w:rPr>
              <w:t>金额合计</w:t>
            </w:r>
          </w:p>
        </w:tc>
        <w:tc>
          <w:tcPr>
            <w:tcW w:w="1335" w:type="dxa"/>
          </w:tcPr>
          <w:p>
            <w:pPr>
              <w:ind w:firstLine="480"/>
              <w:rPr>
                <w:rFonts w:ascii="宋体" w:hAnsi="宋体"/>
                <w:szCs w:val="24"/>
              </w:rPr>
            </w:pPr>
          </w:p>
        </w:tc>
      </w:tr>
    </w:tbl>
    <w:p>
      <w:pPr>
        <w:spacing w:line="240" w:lineRule="auto"/>
        <w:ind w:firstLine="0" w:firstLineChars="0"/>
        <w:rPr>
          <w:szCs w:val="24"/>
        </w:rPr>
      </w:pPr>
      <w:r>
        <w:rPr>
          <w:rFonts w:hint="eastAsia" w:ascii="宋体" w:hAnsi="宋体"/>
          <w:szCs w:val="24"/>
        </w:rPr>
        <w:t>说明：1、以上表格请按费用发生的时间先后顺序填写，并将附件证明材料按对应顺序整理编号；2、发票及金额信息请按照发票实际内容填写；3、每一张发票填写一行。</w:t>
      </w:r>
    </w:p>
    <w:bookmarkEnd w:id="340"/>
    <w:bookmarkEnd w:id="341"/>
    <w:p>
      <w:pPr>
        <w:pStyle w:val="4"/>
        <w:spacing w:before="0" w:after="0" w:line="360" w:lineRule="auto"/>
        <w:rPr>
          <w:rFonts w:ascii="宋体" w:hAnsi="宋体" w:cs="宋体"/>
          <w:kern w:val="0"/>
          <w:sz w:val="40"/>
        </w:rPr>
        <w:sectPr>
          <w:pgSz w:w="11906" w:h="16838"/>
          <w:pgMar w:top="1440" w:right="1803" w:bottom="1440" w:left="1803" w:header="851" w:footer="992" w:gutter="0"/>
          <w:cols w:space="0" w:num="1"/>
          <w:docGrid w:type="lines" w:linePitch="435" w:charSpace="0"/>
        </w:sectPr>
      </w:pPr>
    </w:p>
    <w:p>
      <w:pPr>
        <w:pStyle w:val="28"/>
        <w:spacing w:before="435" w:line="360" w:lineRule="auto"/>
        <w:outlineLvl w:val="2"/>
      </w:pPr>
      <w:bookmarkStart w:id="342" w:name="_Toc130905514"/>
      <w:bookmarkStart w:id="343" w:name="_Toc138949369"/>
      <w:r>
        <w:rPr>
          <w:rFonts w:hint="eastAsia"/>
        </w:rPr>
        <w:t>（七）法律会计机构人才信息汇总表</w:t>
      </w:r>
      <w:bookmarkEnd w:id="342"/>
      <w:bookmarkEnd w:id="343"/>
    </w:p>
    <w:p>
      <w:pPr>
        <w:pStyle w:val="3"/>
        <w:spacing w:line="360" w:lineRule="auto"/>
        <w:ind w:firstLine="0" w:firstLineChars="0"/>
        <w:rPr>
          <w:rFonts w:ascii="黑体" w:hAnsi="黑体" w:eastAsia="黑体" w:cs="黑体"/>
          <w:kern w:val="0"/>
          <w:szCs w:val="24"/>
        </w:rPr>
      </w:pPr>
      <w:r>
        <w:rPr>
          <w:rFonts w:hint="eastAsia" w:ascii="黑体" w:hAnsi="黑体" w:eastAsia="黑体" w:cs="黑体"/>
          <w:kern w:val="0"/>
          <w:szCs w:val="24"/>
        </w:rPr>
        <w:t>单位名称：</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66"/>
        <w:gridCol w:w="2080"/>
        <w:gridCol w:w="1032"/>
        <w:gridCol w:w="1747"/>
        <w:gridCol w:w="1240"/>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8" w:type="pct"/>
            <w:vMerge w:val="restart"/>
            <w:vAlign w:val="center"/>
          </w:tcPr>
          <w:p>
            <w:pPr>
              <w:pStyle w:val="3"/>
              <w:spacing w:line="36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序号</w:t>
            </w:r>
          </w:p>
        </w:tc>
        <w:tc>
          <w:tcPr>
            <w:tcW w:w="450" w:type="pct"/>
            <w:vMerge w:val="restart"/>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姓名</w:t>
            </w:r>
          </w:p>
        </w:tc>
        <w:tc>
          <w:tcPr>
            <w:tcW w:w="1221" w:type="pct"/>
            <w:vMerge w:val="restart"/>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执业证书类型</w:t>
            </w:r>
            <w:r>
              <w:rPr>
                <w:rFonts w:ascii="黑体" w:hAnsi="黑体" w:eastAsia="黑体" w:cs="黑体"/>
                <w:kern w:val="0"/>
                <w:szCs w:val="24"/>
              </w:rPr>
              <w:br w:type="textWrapping"/>
            </w:r>
            <w:r>
              <w:rPr>
                <w:rFonts w:hint="eastAsia" w:ascii="宋体" w:hAnsi="宋体" w:eastAsia="宋体" w:cs="黑体"/>
                <w:kern w:val="0"/>
                <w:szCs w:val="24"/>
              </w:rPr>
              <w:t>（注册会计师、注册税务师、注册资产评估师、律师执业证）</w:t>
            </w:r>
          </w:p>
        </w:tc>
        <w:tc>
          <w:tcPr>
            <w:tcW w:w="606" w:type="pct"/>
            <w:vMerge w:val="restart"/>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入职时间</w:t>
            </w:r>
          </w:p>
        </w:tc>
        <w:tc>
          <w:tcPr>
            <w:tcW w:w="1026" w:type="pct"/>
            <w:vMerge w:val="restart"/>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身份证号/护照号</w:t>
            </w:r>
          </w:p>
        </w:tc>
        <w:tc>
          <w:tcPr>
            <w:tcW w:w="1429" w:type="pct"/>
            <w:gridSpan w:val="2"/>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银行账户信息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8" w:type="pct"/>
            <w:vMerge w:val="continue"/>
            <w:vAlign w:val="center"/>
          </w:tcPr>
          <w:p>
            <w:pPr>
              <w:pStyle w:val="3"/>
              <w:spacing w:line="360" w:lineRule="auto"/>
              <w:ind w:firstLine="0" w:firstLineChars="0"/>
              <w:jc w:val="center"/>
              <w:rPr>
                <w:rFonts w:ascii="黑体" w:hAnsi="黑体" w:eastAsia="黑体" w:cs="黑体"/>
                <w:kern w:val="0"/>
                <w:szCs w:val="24"/>
              </w:rPr>
            </w:pPr>
          </w:p>
        </w:tc>
        <w:tc>
          <w:tcPr>
            <w:tcW w:w="450" w:type="pct"/>
            <w:vMerge w:val="continue"/>
            <w:vAlign w:val="center"/>
          </w:tcPr>
          <w:p>
            <w:pPr>
              <w:pStyle w:val="3"/>
              <w:spacing w:line="240" w:lineRule="auto"/>
              <w:ind w:firstLine="0" w:firstLineChars="0"/>
              <w:jc w:val="center"/>
              <w:rPr>
                <w:rFonts w:ascii="黑体" w:hAnsi="黑体" w:eastAsia="黑体" w:cs="黑体"/>
                <w:kern w:val="0"/>
                <w:szCs w:val="24"/>
              </w:rPr>
            </w:pPr>
          </w:p>
        </w:tc>
        <w:tc>
          <w:tcPr>
            <w:tcW w:w="1221" w:type="pct"/>
            <w:vMerge w:val="continue"/>
          </w:tcPr>
          <w:p>
            <w:pPr>
              <w:pStyle w:val="3"/>
              <w:spacing w:line="240" w:lineRule="auto"/>
              <w:ind w:firstLine="0" w:firstLineChars="0"/>
              <w:jc w:val="center"/>
              <w:rPr>
                <w:rFonts w:ascii="黑体" w:hAnsi="黑体" w:eastAsia="黑体" w:cs="黑体"/>
                <w:kern w:val="0"/>
                <w:szCs w:val="24"/>
              </w:rPr>
            </w:pPr>
          </w:p>
        </w:tc>
        <w:tc>
          <w:tcPr>
            <w:tcW w:w="606" w:type="pct"/>
            <w:vMerge w:val="continue"/>
          </w:tcPr>
          <w:p>
            <w:pPr>
              <w:pStyle w:val="3"/>
              <w:spacing w:line="240" w:lineRule="auto"/>
              <w:ind w:firstLine="0" w:firstLineChars="0"/>
              <w:jc w:val="center"/>
              <w:rPr>
                <w:rFonts w:ascii="黑体" w:hAnsi="黑体" w:eastAsia="黑体" w:cs="黑体"/>
                <w:kern w:val="0"/>
                <w:szCs w:val="24"/>
              </w:rPr>
            </w:pPr>
          </w:p>
        </w:tc>
        <w:tc>
          <w:tcPr>
            <w:tcW w:w="1026" w:type="pct"/>
            <w:vMerge w:val="continue"/>
            <w:vAlign w:val="center"/>
          </w:tcPr>
          <w:p>
            <w:pPr>
              <w:pStyle w:val="3"/>
              <w:spacing w:line="240" w:lineRule="auto"/>
              <w:ind w:firstLine="0" w:firstLineChars="0"/>
              <w:jc w:val="center"/>
              <w:rPr>
                <w:rFonts w:ascii="黑体" w:hAnsi="黑体" w:eastAsia="黑体" w:cs="黑体"/>
                <w:kern w:val="0"/>
                <w:szCs w:val="24"/>
              </w:rPr>
            </w:pPr>
          </w:p>
        </w:tc>
        <w:tc>
          <w:tcPr>
            <w:tcW w:w="728" w:type="pct"/>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银行卡号</w:t>
            </w:r>
          </w:p>
        </w:tc>
        <w:tc>
          <w:tcPr>
            <w:tcW w:w="701" w:type="pct"/>
            <w:vAlign w:val="center"/>
          </w:tcPr>
          <w:p>
            <w:pPr>
              <w:pStyle w:val="3"/>
              <w:spacing w:line="240" w:lineRule="auto"/>
              <w:ind w:firstLine="0" w:firstLineChars="0"/>
              <w:jc w:val="center"/>
              <w:rPr>
                <w:rFonts w:ascii="黑体" w:hAnsi="黑体" w:eastAsia="黑体" w:cs="黑体"/>
                <w:kern w:val="0"/>
                <w:szCs w:val="24"/>
              </w:rPr>
            </w:pPr>
            <w:r>
              <w:rPr>
                <w:rFonts w:hint="eastAsia" w:ascii="黑体" w:hAnsi="黑体" w:eastAsia="黑体" w:cs="黑体"/>
                <w:kern w:val="0"/>
                <w:szCs w:val="24"/>
              </w:rPr>
              <w:t>开户行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Align w:val="center"/>
          </w:tcPr>
          <w:p>
            <w:pPr>
              <w:pStyle w:val="3"/>
              <w:spacing w:line="360" w:lineRule="auto"/>
              <w:ind w:firstLine="480"/>
              <w:jc w:val="center"/>
              <w:rPr>
                <w:rFonts w:ascii="宋体" w:hAnsi="宋体" w:eastAsia="宋体" w:cs="宋体"/>
                <w:kern w:val="0"/>
                <w:szCs w:val="24"/>
              </w:rPr>
            </w:pPr>
          </w:p>
        </w:tc>
        <w:tc>
          <w:tcPr>
            <w:tcW w:w="450" w:type="pct"/>
          </w:tcPr>
          <w:p>
            <w:pPr>
              <w:pStyle w:val="3"/>
              <w:spacing w:line="360" w:lineRule="auto"/>
              <w:ind w:firstLine="480"/>
              <w:rPr>
                <w:rFonts w:ascii="宋体" w:hAnsi="宋体" w:eastAsia="宋体" w:cs="宋体"/>
                <w:kern w:val="0"/>
                <w:szCs w:val="24"/>
              </w:rPr>
            </w:pPr>
          </w:p>
        </w:tc>
        <w:tc>
          <w:tcPr>
            <w:tcW w:w="1221" w:type="pct"/>
          </w:tcPr>
          <w:p>
            <w:pPr>
              <w:pStyle w:val="3"/>
              <w:spacing w:line="360" w:lineRule="auto"/>
              <w:ind w:firstLine="480"/>
              <w:rPr>
                <w:rFonts w:ascii="宋体" w:hAnsi="宋体" w:eastAsia="宋体" w:cs="宋体"/>
                <w:kern w:val="0"/>
                <w:szCs w:val="24"/>
              </w:rPr>
            </w:pPr>
          </w:p>
        </w:tc>
        <w:tc>
          <w:tcPr>
            <w:tcW w:w="606" w:type="pct"/>
          </w:tcPr>
          <w:p>
            <w:pPr>
              <w:pStyle w:val="3"/>
              <w:spacing w:line="360" w:lineRule="auto"/>
              <w:ind w:firstLine="480"/>
              <w:rPr>
                <w:rFonts w:ascii="宋体" w:hAnsi="宋体" w:eastAsia="宋体" w:cs="宋体"/>
                <w:kern w:val="0"/>
                <w:szCs w:val="24"/>
              </w:rPr>
            </w:pPr>
          </w:p>
        </w:tc>
        <w:tc>
          <w:tcPr>
            <w:tcW w:w="1026" w:type="pct"/>
          </w:tcPr>
          <w:p>
            <w:pPr>
              <w:pStyle w:val="3"/>
              <w:spacing w:line="360" w:lineRule="auto"/>
              <w:ind w:firstLine="480"/>
              <w:rPr>
                <w:rFonts w:ascii="宋体" w:hAnsi="宋体" w:eastAsia="宋体" w:cs="宋体"/>
                <w:kern w:val="0"/>
                <w:szCs w:val="24"/>
              </w:rPr>
            </w:pPr>
          </w:p>
        </w:tc>
        <w:tc>
          <w:tcPr>
            <w:tcW w:w="728" w:type="pct"/>
          </w:tcPr>
          <w:p>
            <w:pPr>
              <w:pStyle w:val="3"/>
              <w:spacing w:line="360" w:lineRule="auto"/>
              <w:ind w:firstLine="480"/>
              <w:rPr>
                <w:rFonts w:ascii="宋体" w:hAnsi="宋体" w:eastAsia="宋体" w:cs="宋体"/>
                <w:kern w:val="0"/>
                <w:szCs w:val="24"/>
              </w:rPr>
            </w:pPr>
          </w:p>
        </w:tc>
        <w:tc>
          <w:tcPr>
            <w:tcW w:w="701" w:type="pct"/>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Align w:val="center"/>
          </w:tcPr>
          <w:p>
            <w:pPr>
              <w:pStyle w:val="3"/>
              <w:spacing w:line="360" w:lineRule="auto"/>
              <w:ind w:firstLine="480"/>
              <w:jc w:val="center"/>
              <w:rPr>
                <w:rFonts w:ascii="宋体" w:hAnsi="宋体" w:eastAsia="宋体" w:cs="宋体"/>
                <w:kern w:val="0"/>
                <w:szCs w:val="24"/>
              </w:rPr>
            </w:pPr>
          </w:p>
        </w:tc>
        <w:tc>
          <w:tcPr>
            <w:tcW w:w="450" w:type="pct"/>
          </w:tcPr>
          <w:p>
            <w:pPr>
              <w:pStyle w:val="3"/>
              <w:spacing w:line="360" w:lineRule="auto"/>
              <w:ind w:firstLine="480"/>
              <w:rPr>
                <w:rFonts w:ascii="宋体" w:hAnsi="宋体" w:eastAsia="宋体" w:cs="宋体"/>
                <w:kern w:val="0"/>
                <w:szCs w:val="24"/>
              </w:rPr>
            </w:pPr>
          </w:p>
        </w:tc>
        <w:tc>
          <w:tcPr>
            <w:tcW w:w="1221" w:type="pct"/>
          </w:tcPr>
          <w:p>
            <w:pPr>
              <w:pStyle w:val="3"/>
              <w:spacing w:line="360" w:lineRule="auto"/>
              <w:ind w:firstLine="480"/>
              <w:rPr>
                <w:rFonts w:ascii="宋体" w:hAnsi="宋体" w:eastAsia="宋体" w:cs="宋体"/>
                <w:kern w:val="0"/>
                <w:szCs w:val="24"/>
              </w:rPr>
            </w:pPr>
          </w:p>
        </w:tc>
        <w:tc>
          <w:tcPr>
            <w:tcW w:w="606" w:type="pct"/>
          </w:tcPr>
          <w:p>
            <w:pPr>
              <w:pStyle w:val="3"/>
              <w:spacing w:line="360" w:lineRule="auto"/>
              <w:ind w:firstLine="480"/>
              <w:rPr>
                <w:rFonts w:ascii="宋体" w:hAnsi="宋体" w:eastAsia="宋体" w:cs="宋体"/>
                <w:kern w:val="0"/>
                <w:szCs w:val="24"/>
              </w:rPr>
            </w:pPr>
          </w:p>
        </w:tc>
        <w:tc>
          <w:tcPr>
            <w:tcW w:w="1026" w:type="pct"/>
          </w:tcPr>
          <w:p>
            <w:pPr>
              <w:pStyle w:val="3"/>
              <w:spacing w:line="360" w:lineRule="auto"/>
              <w:ind w:firstLine="480"/>
              <w:rPr>
                <w:rFonts w:ascii="宋体" w:hAnsi="宋体" w:eastAsia="宋体" w:cs="宋体"/>
                <w:kern w:val="0"/>
                <w:szCs w:val="24"/>
              </w:rPr>
            </w:pPr>
          </w:p>
        </w:tc>
        <w:tc>
          <w:tcPr>
            <w:tcW w:w="728" w:type="pct"/>
          </w:tcPr>
          <w:p>
            <w:pPr>
              <w:pStyle w:val="3"/>
              <w:spacing w:line="360" w:lineRule="auto"/>
              <w:ind w:firstLine="480"/>
              <w:rPr>
                <w:rFonts w:ascii="宋体" w:hAnsi="宋体" w:eastAsia="宋体" w:cs="宋体"/>
                <w:kern w:val="0"/>
                <w:szCs w:val="24"/>
              </w:rPr>
            </w:pPr>
          </w:p>
        </w:tc>
        <w:tc>
          <w:tcPr>
            <w:tcW w:w="701" w:type="pct"/>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Align w:val="center"/>
          </w:tcPr>
          <w:p>
            <w:pPr>
              <w:pStyle w:val="3"/>
              <w:spacing w:line="360" w:lineRule="auto"/>
              <w:ind w:firstLine="480"/>
              <w:jc w:val="center"/>
              <w:rPr>
                <w:rFonts w:ascii="宋体" w:hAnsi="宋体" w:eastAsia="宋体" w:cs="宋体"/>
                <w:kern w:val="0"/>
                <w:szCs w:val="24"/>
              </w:rPr>
            </w:pPr>
          </w:p>
        </w:tc>
        <w:tc>
          <w:tcPr>
            <w:tcW w:w="450" w:type="pct"/>
          </w:tcPr>
          <w:p>
            <w:pPr>
              <w:pStyle w:val="3"/>
              <w:spacing w:line="360" w:lineRule="auto"/>
              <w:ind w:firstLine="480"/>
              <w:rPr>
                <w:rFonts w:ascii="宋体" w:hAnsi="宋体" w:eastAsia="宋体" w:cs="宋体"/>
                <w:kern w:val="0"/>
                <w:szCs w:val="24"/>
              </w:rPr>
            </w:pPr>
          </w:p>
        </w:tc>
        <w:tc>
          <w:tcPr>
            <w:tcW w:w="1221" w:type="pct"/>
          </w:tcPr>
          <w:p>
            <w:pPr>
              <w:pStyle w:val="3"/>
              <w:spacing w:line="360" w:lineRule="auto"/>
              <w:ind w:firstLine="480"/>
              <w:rPr>
                <w:rFonts w:ascii="宋体" w:hAnsi="宋体" w:eastAsia="宋体" w:cs="宋体"/>
                <w:kern w:val="0"/>
                <w:szCs w:val="24"/>
              </w:rPr>
            </w:pPr>
          </w:p>
        </w:tc>
        <w:tc>
          <w:tcPr>
            <w:tcW w:w="606" w:type="pct"/>
          </w:tcPr>
          <w:p>
            <w:pPr>
              <w:pStyle w:val="3"/>
              <w:spacing w:line="360" w:lineRule="auto"/>
              <w:ind w:firstLine="480"/>
              <w:rPr>
                <w:rFonts w:ascii="宋体" w:hAnsi="宋体" w:eastAsia="宋体" w:cs="宋体"/>
                <w:kern w:val="0"/>
                <w:szCs w:val="24"/>
              </w:rPr>
            </w:pPr>
          </w:p>
        </w:tc>
        <w:tc>
          <w:tcPr>
            <w:tcW w:w="1026" w:type="pct"/>
          </w:tcPr>
          <w:p>
            <w:pPr>
              <w:pStyle w:val="3"/>
              <w:spacing w:line="360" w:lineRule="auto"/>
              <w:ind w:firstLine="480"/>
              <w:rPr>
                <w:rFonts w:ascii="宋体" w:hAnsi="宋体" w:eastAsia="宋体" w:cs="宋体"/>
                <w:kern w:val="0"/>
                <w:szCs w:val="24"/>
              </w:rPr>
            </w:pPr>
          </w:p>
        </w:tc>
        <w:tc>
          <w:tcPr>
            <w:tcW w:w="728" w:type="pct"/>
          </w:tcPr>
          <w:p>
            <w:pPr>
              <w:pStyle w:val="3"/>
              <w:spacing w:line="360" w:lineRule="auto"/>
              <w:ind w:firstLine="480"/>
              <w:rPr>
                <w:rFonts w:ascii="宋体" w:hAnsi="宋体" w:eastAsia="宋体" w:cs="宋体"/>
                <w:kern w:val="0"/>
                <w:szCs w:val="24"/>
              </w:rPr>
            </w:pPr>
          </w:p>
        </w:tc>
        <w:tc>
          <w:tcPr>
            <w:tcW w:w="701" w:type="pct"/>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Align w:val="center"/>
          </w:tcPr>
          <w:p>
            <w:pPr>
              <w:pStyle w:val="3"/>
              <w:spacing w:line="360" w:lineRule="auto"/>
              <w:ind w:firstLine="480"/>
              <w:jc w:val="center"/>
              <w:rPr>
                <w:rFonts w:ascii="宋体" w:hAnsi="宋体" w:eastAsia="宋体" w:cs="宋体"/>
                <w:kern w:val="0"/>
                <w:szCs w:val="24"/>
              </w:rPr>
            </w:pPr>
          </w:p>
        </w:tc>
        <w:tc>
          <w:tcPr>
            <w:tcW w:w="450" w:type="pct"/>
          </w:tcPr>
          <w:p>
            <w:pPr>
              <w:pStyle w:val="3"/>
              <w:spacing w:line="360" w:lineRule="auto"/>
              <w:ind w:firstLine="480"/>
              <w:rPr>
                <w:rFonts w:ascii="宋体" w:hAnsi="宋体" w:eastAsia="宋体" w:cs="宋体"/>
                <w:kern w:val="0"/>
                <w:szCs w:val="24"/>
              </w:rPr>
            </w:pPr>
          </w:p>
        </w:tc>
        <w:tc>
          <w:tcPr>
            <w:tcW w:w="1221" w:type="pct"/>
          </w:tcPr>
          <w:p>
            <w:pPr>
              <w:pStyle w:val="3"/>
              <w:spacing w:line="360" w:lineRule="auto"/>
              <w:ind w:firstLine="480"/>
              <w:rPr>
                <w:rFonts w:ascii="宋体" w:hAnsi="宋体" w:eastAsia="宋体" w:cs="宋体"/>
                <w:kern w:val="0"/>
                <w:szCs w:val="24"/>
              </w:rPr>
            </w:pPr>
          </w:p>
        </w:tc>
        <w:tc>
          <w:tcPr>
            <w:tcW w:w="606" w:type="pct"/>
          </w:tcPr>
          <w:p>
            <w:pPr>
              <w:pStyle w:val="3"/>
              <w:spacing w:line="360" w:lineRule="auto"/>
              <w:ind w:firstLine="480"/>
              <w:rPr>
                <w:rFonts w:ascii="宋体" w:hAnsi="宋体" w:eastAsia="宋体" w:cs="宋体"/>
                <w:kern w:val="0"/>
                <w:szCs w:val="24"/>
              </w:rPr>
            </w:pPr>
          </w:p>
        </w:tc>
        <w:tc>
          <w:tcPr>
            <w:tcW w:w="1026" w:type="pct"/>
          </w:tcPr>
          <w:p>
            <w:pPr>
              <w:pStyle w:val="3"/>
              <w:spacing w:line="360" w:lineRule="auto"/>
              <w:ind w:firstLine="480"/>
              <w:rPr>
                <w:rFonts w:ascii="宋体" w:hAnsi="宋体" w:eastAsia="宋体" w:cs="宋体"/>
                <w:kern w:val="0"/>
                <w:szCs w:val="24"/>
              </w:rPr>
            </w:pPr>
          </w:p>
        </w:tc>
        <w:tc>
          <w:tcPr>
            <w:tcW w:w="728" w:type="pct"/>
          </w:tcPr>
          <w:p>
            <w:pPr>
              <w:pStyle w:val="3"/>
              <w:spacing w:line="360" w:lineRule="auto"/>
              <w:ind w:firstLine="480"/>
              <w:rPr>
                <w:rFonts w:ascii="宋体" w:hAnsi="宋体" w:eastAsia="宋体" w:cs="宋体"/>
                <w:kern w:val="0"/>
                <w:szCs w:val="24"/>
              </w:rPr>
            </w:pPr>
          </w:p>
        </w:tc>
        <w:tc>
          <w:tcPr>
            <w:tcW w:w="701" w:type="pct"/>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Align w:val="center"/>
          </w:tcPr>
          <w:p>
            <w:pPr>
              <w:pStyle w:val="3"/>
              <w:spacing w:line="360" w:lineRule="auto"/>
              <w:ind w:firstLine="480"/>
              <w:jc w:val="center"/>
              <w:rPr>
                <w:rFonts w:ascii="宋体" w:hAnsi="宋体" w:eastAsia="宋体" w:cs="宋体"/>
                <w:kern w:val="0"/>
                <w:szCs w:val="24"/>
              </w:rPr>
            </w:pPr>
          </w:p>
        </w:tc>
        <w:tc>
          <w:tcPr>
            <w:tcW w:w="450" w:type="pct"/>
          </w:tcPr>
          <w:p>
            <w:pPr>
              <w:pStyle w:val="3"/>
              <w:spacing w:line="360" w:lineRule="auto"/>
              <w:ind w:firstLine="480"/>
              <w:rPr>
                <w:rFonts w:ascii="宋体" w:hAnsi="宋体" w:eastAsia="宋体" w:cs="宋体"/>
                <w:kern w:val="0"/>
                <w:szCs w:val="24"/>
              </w:rPr>
            </w:pPr>
          </w:p>
        </w:tc>
        <w:tc>
          <w:tcPr>
            <w:tcW w:w="1221" w:type="pct"/>
          </w:tcPr>
          <w:p>
            <w:pPr>
              <w:pStyle w:val="3"/>
              <w:spacing w:line="360" w:lineRule="auto"/>
              <w:ind w:firstLine="480"/>
              <w:rPr>
                <w:rFonts w:ascii="宋体" w:hAnsi="宋体" w:eastAsia="宋体" w:cs="宋体"/>
                <w:kern w:val="0"/>
                <w:szCs w:val="24"/>
              </w:rPr>
            </w:pPr>
          </w:p>
        </w:tc>
        <w:tc>
          <w:tcPr>
            <w:tcW w:w="606" w:type="pct"/>
          </w:tcPr>
          <w:p>
            <w:pPr>
              <w:pStyle w:val="3"/>
              <w:spacing w:line="360" w:lineRule="auto"/>
              <w:ind w:firstLine="480"/>
              <w:rPr>
                <w:rFonts w:ascii="宋体" w:hAnsi="宋体" w:eastAsia="宋体" w:cs="宋体"/>
                <w:kern w:val="0"/>
                <w:szCs w:val="24"/>
              </w:rPr>
            </w:pPr>
          </w:p>
        </w:tc>
        <w:tc>
          <w:tcPr>
            <w:tcW w:w="1026" w:type="pct"/>
          </w:tcPr>
          <w:p>
            <w:pPr>
              <w:pStyle w:val="3"/>
              <w:spacing w:line="360" w:lineRule="auto"/>
              <w:ind w:firstLine="480"/>
              <w:rPr>
                <w:rFonts w:ascii="宋体" w:hAnsi="宋体" w:eastAsia="宋体" w:cs="宋体"/>
                <w:kern w:val="0"/>
                <w:szCs w:val="24"/>
              </w:rPr>
            </w:pPr>
          </w:p>
        </w:tc>
        <w:tc>
          <w:tcPr>
            <w:tcW w:w="728" w:type="pct"/>
          </w:tcPr>
          <w:p>
            <w:pPr>
              <w:pStyle w:val="3"/>
              <w:spacing w:line="360" w:lineRule="auto"/>
              <w:ind w:firstLine="480"/>
              <w:rPr>
                <w:rFonts w:ascii="宋体" w:hAnsi="宋体" w:eastAsia="宋体" w:cs="宋体"/>
                <w:kern w:val="0"/>
                <w:szCs w:val="24"/>
              </w:rPr>
            </w:pPr>
          </w:p>
        </w:tc>
        <w:tc>
          <w:tcPr>
            <w:tcW w:w="701" w:type="pct"/>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Align w:val="center"/>
          </w:tcPr>
          <w:p>
            <w:pPr>
              <w:pStyle w:val="3"/>
              <w:spacing w:line="360" w:lineRule="auto"/>
              <w:ind w:firstLine="480"/>
              <w:jc w:val="center"/>
              <w:rPr>
                <w:rFonts w:ascii="宋体" w:hAnsi="宋体" w:eastAsia="宋体" w:cs="宋体"/>
                <w:kern w:val="0"/>
                <w:szCs w:val="24"/>
              </w:rPr>
            </w:pPr>
          </w:p>
        </w:tc>
        <w:tc>
          <w:tcPr>
            <w:tcW w:w="450" w:type="pct"/>
          </w:tcPr>
          <w:p>
            <w:pPr>
              <w:pStyle w:val="3"/>
              <w:spacing w:line="360" w:lineRule="auto"/>
              <w:ind w:firstLine="480"/>
              <w:rPr>
                <w:rFonts w:ascii="宋体" w:hAnsi="宋体" w:eastAsia="宋体" w:cs="宋体"/>
                <w:kern w:val="0"/>
                <w:szCs w:val="24"/>
              </w:rPr>
            </w:pPr>
          </w:p>
        </w:tc>
        <w:tc>
          <w:tcPr>
            <w:tcW w:w="1221" w:type="pct"/>
          </w:tcPr>
          <w:p>
            <w:pPr>
              <w:pStyle w:val="3"/>
              <w:spacing w:line="360" w:lineRule="auto"/>
              <w:ind w:firstLine="480"/>
              <w:rPr>
                <w:rFonts w:ascii="宋体" w:hAnsi="宋体" w:eastAsia="宋体" w:cs="宋体"/>
                <w:kern w:val="0"/>
                <w:szCs w:val="24"/>
              </w:rPr>
            </w:pPr>
          </w:p>
        </w:tc>
        <w:tc>
          <w:tcPr>
            <w:tcW w:w="606" w:type="pct"/>
          </w:tcPr>
          <w:p>
            <w:pPr>
              <w:pStyle w:val="3"/>
              <w:spacing w:line="360" w:lineRule="auto"/>
              <w:ind w:firstLine="480"/>
              <w:rPr>
                <w:rFonts w:ascii="宋体" w:hAnsi="宋体" w:eastAsia="宋体" w:cs="宋体"/>
                <w:kern w:val="0"/>
                <w:szCs w:val="24"/>
              </w:rPr>
            </w:pPr>
          </w:p>
        </w:tc>
        <w:tc>
          <w:tcPr>
            <w:tcW w:w="1026" w:type="pct"/>
          </w:tcPr>
          <w:p>
            <w:pPr>
              <w:pStyle w:val="3"/>
              <w:spacing w:line="360" w:lineRule="auto"/>
              <w:ind w:firstLine="480"/>
              <w:rPr>
                <w:rFonts w:ascii="宋体" w:hAnsi="宋体" w:eastAsia="宋体" w:cs="宋体"/>
                <w:kern w:val="0"/>
                <w:szCs w:val="24"/>
              </w:rPr>
            </w:pPr>
          </w:p>
        </w:tc>
        <w:tc>
          <w:tcPr>
            <w:tcW w:w="728" w:type="pct"/>
          </w:tcPr>
          <w:p>
            <w:pPr>
              <w:pStyle w:val="3"/>
              <w:spacing w:line="360" w:lineRule="auto"/>
              <w:ind w:firstLine="480"/>
              <w:rPr>
                <w:rFonts w:ascii="宋体" w:hAnsi="宋体" w:eastAsia="宋体" w:cs="宋体"/>
                <w:kern w:val="0"/>
                <w:szCs w:val="24"/>
              </w:rPr>
            </w:pPr>
          </w:p>
        </w:tc>
        <w:tc>
          <w:tcPr>
            <w:tcW w:w="701" w:type="pct"/>
          </w:tcPr>
          <w:p>
            <w:pPr>
              <w:pStyle w:val="3"/>
              <w:spacing w:line="360" w:lineRule="auto"/>
              <w:ind w:firstLine="480"/>
              <w:rPr>
                <w:rFonts w:ascii="宋体" w:hAnsi="宋体" w:eastAsia="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Align w:val="center"/>
          </w:tcPr>
          <w:p>
            <w:pPr>
              <w:pStyle w:val="3"/>
              <w:spacing w:line="360" w:lineRule="auto"/>
              <w:ind w:firstLine="480"/>
              <w:jc w:val="center"/>
              <w:rPr>
                <w:rFonts w:ascii="宋体" w:hAnsi="宋体" w:eastAsia="宋体" w:cs="宋体"/>
                <w:kern w:val="0"/>
                <w:szCs w:val="24"/>
              </w:rPr>
            </w:pPr>
          </w:p>
        </w:tc>
        <w:tc>
          <w:tcPr>
            <w:tcW w:w="450" w:type="pct"/>
          </w:tcPr>
          <w:p>
            <w:pPr>
              <w:pStyle w:val="3"/>
              <w:spacing w:line="360" w:lineRule="auto"/>
              <w:ind w:firstLine="480"/>
              <w:rPr>
                <w:rFonts w:ascii="宋体" w:hAnsi="宋体" w:eastAsia="宋体" w:cs="宋体"/>
                <w:kern w:val="0"/>
                <w:szCs w:val="24"/>
              </w:rPr>
            </w:pPr>
          </w:p>
        </w:tc>
        <w:tc>
          <w:tcPr>
            <w:tcW w:w="1221" w:type="pct"/>
          </w:tcPr>
          <w:p>
            <w:pPr>
              <w:pStyle w:val="3"/>
              <w:spacing w:line="360" w:lineRule="auto"/>
              <w:ind w:firstLine="480"/>
              <w:rPr>
                <w:rFonts w:ascii="宋体" w:hAnsi="宋体" w:eastAsia="宋体" w:cs="宋体"/>
                <w:kern w:val="0"/>
                <w:szCs w:val="24"/>
              </w:rPr>
            </w:pPr>
          </w:p>
        </w:tc>
        <w:tc>
          <w:tcPr>
            <w:tcW w:w="606" w:type="pct"/>
          </w:tcPr>
          <w:p>
            <w:pPr>
              <w:pStyle w:val="3"/>
              <w:spacing w:line="360" w:lineRule="auto"/>
              <w:ind w:firstLine="480"/>
              <w:rPr>
                <w:rFonts w:ascii="宋体" w:hAnsi="宋体" w:eastAsia="宋体" w:cs="宋体"/>
                <w:kern w:val="0"/>
                <w:szCs w:val="24"/>
              </w:rPr>
            </w:pPr>
          </w:p>
        </w:tc>
        <w:tc>
          <w:tcPr>
            <w:tcW w:w="1026" w:type="pct"/>
          </w:tcPr>
          <w:p>
            <w:pPr>
              <w:pStyle w:val="3"/>
              <w:spacing w:line="360" w:lineRule="auto"/>
              <w:ind w:firstLine="480"/>
              <w:rPr>
                <w:rFonts w:ascii="宋体" w:hAnsi="宋体" w:eastAsia="宋体" w:cs="宋体"/>
                <w:kern w:val="0"/>
                <w:szCs w:val="24"/>
              </w:rPr>
            </w:pPr>
          </w:p>
        </w:tc>
        <w:tc>
          <w:tcPr>
            <w:tcW w:w="728" w:type="pct"/>
          </w:tcPr>
          <w:p>
            <w:pPr>
              <w:pStyle w:val="3"/>
              <w:spacing w:line="360" w:lineRule="auto"/>
              <w:ind w:firstLine="480"/>
              <w:rPr>
                <w:rFonts w:ascii="宋体" w:hAnsi="宋体" w:eastAsia="宋体" w:cs="宋体"/>
                <w:kern w:val="0"/>
                <w:szCs w:val="24"/>
              </w:rPr>
            </w:pPr>
          </w:p>
        </w:tc>
        <w:tc>
          <w:tcPr>
            <w:tcW w:w="701" w:type="pct"/>
          </w:tcPr>
          <w:p>
            <w:pPr>
              <w:pStyle w:val="3"/>
              <w:spacing w:line="360" w:lineRule="auto"/>
              <w:ind w:firstLine="480"/>
              <w:rPr>
                <w:rFonts w:ascii="宋体" w:hAnsi="宋体" w:eastAsia="宋体" w:cs="宋体"/>
                <w:kern w:val="0"/>
                <w:szCs w:val="24"/>
              </w:rPr>
            </w:pPr>
          </w:p>
        </w:tc>
      </w:tr>
    </w:tbl>
    <w:p>
      <w:pPr>
        <w:ind w:firstLine="480"/>
      </w:pPr>
    </w:p>
    <w:p>
      <w:pPr>
        <w:pStyle w:val="5"/>
        <w:spacing w:before="0" w:after="0" w:line="360" w:lineRule="auto"/>
        <w:ind w:firstLine="0" w:firstLineChars="0"/>
      </w:pPr>
    </w:p>
    <w:sectPr>
      <w:headerReference r:id="rId28" w:type="first"/>
      <w:footerReference r:id="rId30" w:type="first"/>
      <w:headerReference r:id="rId26" w:type="default"/>
      <w:headerReference r:id="rId27" w:type="even"/>
      <w:footerReference r:id="rId29" w:type="even"/>
      <w:pgSz w:w="11906" w:h="16838"/>
      <w:pgMar w:top="1440" w:right="1803" w:bottom="1440" w:left="1803" w:header="851" w:footer="992" w:gutter="0"/>
      <w:cols w:space="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8306"/>
      </w:tabs>
      <w:ind w:firstLine="0" w:firstLineChars="0"/>
      <w:jc w:val="center"/>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pPr>
    <w:r>
      <w:fldChar w:fldCharType="begin"/>
    </w:r>
    <w:r>
      <w:instrText xml:space="preserve">PAGE   \* MERGEFORMAT</w:instrText>
    </w:r>
    <w:r>
      <w:fldChar w:fldCharType="separate"/>
    </w:r>
    <w:r>
      <w:rPr>
        <w:lang w:val="zh-CN"/>
      </w:rP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jc w:val="center"/>
    </w:pPr>
    <w:r>
      <w:fldChar w:fldCharType="begin"/>
    </w:r>
    <w:r>
      <w:instrText xml:space="preserve">PAGE   \* MERGEFORMAT</w:instrText>
    </w:r>
    <w:r>
      <w:fldChar w:fldCharType="separate"/>
    </w:r>
    <w:r>
      <w:rPr>
        <w:lang w:val="zh-CN"/>
      </w:rPr>
      <w:t>36</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p>
    <w:pPr>
      <w:ind w:firstLine="4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48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p>
    <w:pPr>
      <w:ind w:firstLine="48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48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08628"/>
    <w:multiLevelType w:val="multilevel"/>
    <w:tmpl w:val="9700862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ACD0C602"/>
    <w:multiLevelType w:val="multilevel"/>
    <w:tmpl w:val="ACD0C602"/>
    <w:lvl w:ilvl="0" w:tentative="0">
      <w:start w:val="1"/>
      <w:numFmt w:val="decimal"/>
      <w:lvlText w:val="%1."/>
      <w:lvlJc w:val="left"/>
      <w:pPr>
        <w:ind w:left="425" w:hanging="425"/>
      </w:pPr>
    </w:lvl>
    <w:lvl w:ilvl="1" w:tentative="0">
      <w:start w:val="1"/>
      <w:numFmt w:val="decimal"/>
      <w:lvlText w:val="%1.%2."/>
      <w:lvlJc w:val="left"/>
      <w:pPr>
        <w:ind w:left="851" w:hanging="567"/>
      </w:pPr>
      <w:rPr>
        <w:rFonts w:ascii="宋体" w:hAnsi="宋体" w:eastAsia="宋体"/>
        <w:sz w:val="28"/>
        <w:szCs w:val="28"/>
      </w:rPr>
    </w:lvl>
    <w:lvl w:ilvl="2" w:tentative="0">
      <w:start w:val="1"/>
      <w:numFmt w:val="decimal"/>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rPr>
        <w:rFonts w:hint="default" w:ascii="宋体" w:hAnsi="宋体" w:eastAsia="宋体" w:cs="宋体"/>
      </w:r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C5E99CD3"/>
    <w:multiLevelType w:val="singleLevel"/>
    <w:tmpl w:val="C5E99CD3"/>
    <w:lvl w:ilvl="0" w:tentative="0">
      <w:start w:val="1"/>
      <w:numFmt w:val="chineseCounting"/>
      <w:suff w:val="nothing"/>
      <w:lvlText w:val="%1、"/>
      <w:lvlJc w:val="left"/>
      <w:rPr>
        <w:rFonts w:hint="eastAsia"/>
      </w:rPr>
    </w:lvl>
  </w:abstractNum>
  <w:abstractNum w:abstractNumId="3">
    <w:nsid w:val="FD8F69CA"/>
    <w:multiLevelType w:val="singleLevel"/>
    <w:tmpl w:val="FD8F69CA"/>
    <w:lvl w:ilvl="0" w:tentative="0">
      <w:start w:val="3"/>
      <w:numFmt w:val="chineseCounting"/>
      <w:suff w:val="nothing"/>
      <w:lvlText w:val="%1、"/>
      <w:lvlJc w:val="left"/>
      <w:rPr>
        <w:rFonts w:hint="eastAsia"/>
      </w:rPr>
    </w:lvl>
  </w:abstractNum>
  <w:abstractNum w:abstractNumId="4">
    <w:nsid w:val="FFFF8954"/>
    <w:multiLevelType w:val="singleLevel"/>
    <w:tmpl w:val="FFFF8954"/>
    <w:lvl w:ilvl="0" w:tentative="0">
      <w:start w:val="2"/>
      <w:numFmt w:val="decimal"/>
      <w:suff w:val="nothing"/>
      <w:lvlText w:val="（%1）"/>
      <w:lvlJc w:val="left"/>
    </w:lvl>
  </w:abstractNum>
  <w:abstractNum w:abstractNumId="5">
    <w:nsid w:val="1B35AA25"/>
    <w:multiLevelType w:val="singleLevel"/>
    <w:tmpl w:val="1B35AA25"/>
    <w:lvl w:ilvl="0" w:tentative="0">
      <w:start w:val="1"/>
      <w:numFmt w:val="decimal"/>
      <w:suff w:val="nothing"/>
      <w:lvlText w:val="（%1）"/>
      <w:lvlJc w:val="left"/>
    </w:lvl>
  </w:abstractNum>
  <w:abstractNum w:abstractNumId="6">
    <w:nsid w:val="34B134E8"/>
    <w:multiLevelType w:val="multilevel"/>
    <w:tmpl w:val="34B134E8"/>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46EF1BFE"/>
    <w:multiLevelType w:val="multilevel"/>
    <w:tmpl w:val="46EF1BFE"/>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6AEB04CD"/>
    <w:multiLevelType w:val="multilevel"/>
    <w:tmpl w:val="6AEB04CD"/>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48C1A88"/>
    <w:multiLevelType w:val="multilevel"/>
    <w:tmpl w:val="748C1A88"/>
    <w:lvl w:ilvl="0" w:tentative="0">
      <w:start w:val="1"/>
      <w:numFmt w:val="decimal"/>
      <w:lvlText w:val="%1"/>
      <w:lvlJc w:val="left"/>
      <w:pPr>
        <w:tabs>
          <w:tab w:val="left" w:pos="432"/>
        </w:tabs>
        <w:ind w:left="432" w:hanging="432"/>
      </w:pPr>
      <w:rPr>
        <w:rFonts w:hint="default" w:ascii="宋体" w:hAnsi="宋体" w:eastAsia="宋体" w:cs="宋体"/>
      </w:rPr>
    </w:lvl>
    <w:lvl w:ilvl="1" w:tentative="0">
      <w:start w:val="1"/>
      <w:numFmt w:val="decimal"/>
      <w:lvlText w:val="%1.%2"/>
      <w:lvlJc w:val="left"/>
      <w:pPr>
        <w:tabs>
          <w:tab w:val="left" w:pos="756"/>
        </w:tabs>
        <w:ind w:left="756" w:hanging="576"/>
      </w:pPr>
      <w:rPr>
        <w:rFonts w:hint="default" w:ascii="宋体" w:hAnsi="宋体" w:eastAsia="宋体" w:cs="宋体"/>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rPr>
        <w:rFonts w:hint="default" w:ascii="宋体" w:hAnsi="宋体" w:eastAsia="宋体" w:cs="宋体"/>
      </w:rPr>
    </w:lvl>
    <w:lvl w:ilvl="4" w:tentative="0">
      <w:start w:val="1"/>
      <w:numFmt w:val="decimal"/>
      <w:lvlRestart w:val="0"/>
      <w:pStyle w:val="8"/>
      <w:lvlText w:val="%1.%2.%3.%4.%5"/>
      <w:lvlJc w:val="left"/>
      <w:pPr>
        <w:tabs>
          <w:tab w:val="left" w:pos="1008"/>
        </w:tabs>
        <w:ind w:left="1008" w:hanging="1008"/>
      </w:pPr>
      <w:rPr>
        <w:rFonts w:hint="default" w:ascii="宋体" w:hAnsi="宋体" w:eastAsia="宋体" w:cs="宋体"/>
      </w:r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9"/>
  </w:num>
  <w:num w:numId="2">
    <w:abstractNumId w:val="2"/>
  </w:num>
  <w:num w:numId="3">
    <w:abstractNumId w:val="3"/>
  </w:num>
  <w:num w:numId="4">
    <w:abstractNumId w:val="1"/>
  </w:num>
  <w:num w:numId="5">
    <w:abstractNumId w:val="0"/>
  </w:num>
  <w:num w:numId="6">
    <w:abstractNumId w:val="8"/>
  </w:num>
  <w:num w:numId="7">
    <w:abstractNumId w:val="4"/>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2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0MjlmMzJkZTkwNjhmYWM4ZGY4MzY0NmFhMzhmNGEifQ=="/>
  </w:docVars>
  <w:rsids>
    <w:rsidRoot w:val="00172A27"/>
    <w:rsid w:val="000018E5"/>
    <w:rsid w:val="00003BC1"/>
    <w:rsid w:val="00005D84"/>
    <w:rsid w:val="00007340"/>
    <w:rsid w:val="000118AA"/>
    <w:rsid w:val="00012625"/>
    <w:rsid w:val="00013BA4"/>
    <w:rsid w:val="000200C2"/>
    <w:rsid w:val="00020D46"/>
    <w:rsid w:val="00026B0C"/>
    <w:rsid w:val="00030199"/>
    <w:rsid w:val="00030EC0"/>
    <w:rsid w:val="000313C9"/>
    <w:rsid w:val="0003280C"/>
    <w:rsid w:val="000345B7"/>
    <w:rsid w:val="00037F22"/>
    <w:rsid w:val="00040DDF"/>
    <w:rsid w:val="00042843"/>
    <w:rsid w:val="0004648D"/>
    <w:rsid w:val="00047E67"/>
    <w:rsid w:val="0005197D"/>
    <w:rsid w:val="00053822"/>
    <w:rsid w:val="00053E26"/>
    <w:rsid w:val="00056268"/>
    <w:rsid w:val="0006027E"/>
    <w:rsid w:val="00061EC2"/>
    <w:rsid w:val="000626DC"/>
    <w:rsid w:val="000635AA"/>
    <w:rsid w:val="00063700"/>
    <w:rsid w:val="00065264"/>
    <w:rsid w:val="000652D8"/>
    <w:rsid w:val="000703D6"/>
    <w:rsid w:val="000713FE"/>
    <w:rsid w:val="00071DA7"/>
    <w:rsid w:val="00073E62"/>
    <w:rsid w:val="00075617"/>
    <w:rsid w:val="000765F1"/>
    <w:rsid w:val="00084158"/>
    <w:rsid w:val="000869AB"/>
    <w:rsid w:val="000878B2"/>
    <w:rsid w:val="00090991"/>
    <w:rsid w:val="00094576"/>
    <w:rsid w:val="0009470C"/>
    <w:rsid w:val="00094DD9"/>
    <w:rsid w:val="00096EAA"/>
    <w:rsid w:val="000A19D5"/>
    <w:rsid w:val="000A2CF9"/>
    <w:rsid w:val="000A5721"/>
    <w:rsid w:val="000A7580"/>
    <w:rsid w:val="000B10F5"/>
    <w:rsid w:val="000B1FB2"/>
    <w:rsid w:val="000B4611"/>
    <w:rsid w:val="000C3579"/>
    <w:rsid w:val="000C3FB5"/>
    <w:rsid w:val="000C44FC"/>
    <w:rsid w:val="000C727C"/>
    <w:rsid w:val="000D2280"/>
    <w:rsid w:val="000D25D1"/>
    <w:rsid w:val="000D3A8A"/>
    <w:rsid w:val="000D42FF"/>
    <w:rsid w:val="000D5030"/>
    <w:rsid w:val="000D6084"/>
    <w:rsid w:val="000D65A9"/>
    <w:rsid w:val="000D7A65"/>
    <w:rsid w:val="000D7E8C"/>
    <w:rsid w:val="000E2B31"/>
    <w:rsid w:val="000E2F90"/>
    <w:rsid w:val="000E3B1F"/>
    <w:rsid w:val="000E3DD9"/>
    <w:rsid w:val="000E4CFC"/>
    <w:rsid w:val="000F4DA1"/>
    <w:rsid w:val="000F7045"/>
    <w:rsid w:val="00100CB8"/>
    <w:rsid w:val="00101BCD"/>
    <w:rsid w:val="00102133"/>
    <w:rsid w:val="0010399F"/>
    <w:rsid w:val="0010555E"/>
    <w:rsid w:val="001066DC"/>
    <w:rsid w:val="00111E35"/>
    <w:rsid w:val="0011214B"/>
    <w:rsid w:val="00112887"/>
    <w:rsid w:val="001136B5"/>
    <w:rsid w:val="00122A93"/>
    <w:rsid w:val="001236C4"/>
    <w:rsid w:val="0012531A"/>
    <w:rsid w:val="00125355"/>
    <w:rsid w:val="00126A65"/>
    <w:rsid w:val="00131BD4"/>
    <w:rsid w:val="0013462B"/>
    <w:rsid w:val="001355C5"/>
    <w:rsid w:val="00135BF0"/>
    <w:rsid w:val="00137F06"/>
    <w:rsid w:val="0014026A"/>
    <w:rsid w:val="00140E47"/>
    <w:rsid w:val="00142232"/>
    <w:rsid w:val="00145843"/>
    <w:rsid w:val="00146836"/>
    <w:rsid w:val="00153ED2"/>
    <w:rsid w:val="00154187"/>
    <w:rsid w:val="00155565"/>
    <w:rsid w:val="00161140"/>
    <w:rsid w:val="00161F11"/>
    <w:rsid w:val="00162736"/>
    <w:rsid w:val="00163172"/>
    <w:rsid w:val="00164B5C"/>
    <w:rsid w:val="00166BDF"/>
    <w:rsid w:val="001673C9"/>
    <w:rsid w:val="00171B6B"/>
    <w:rsid w:val="00172A27"/>
    <w:rsid w:val="00174A75"/>
    <w:rsid w:val="001764FD"/>
    <w:rsid w:val="001805DE"/>
    <w:rsid w:val="001822B3"/>
    <w:rsid w:val="001835C1"/>
    <w:rsid w:val="001866BB"/>
    <w:rsid w:val="00190AE1"/>
    <w:rsid w:val="00191498"/>
    <w:rsid w:val="00191659"/>
    <w:rsid w:val="0019256D"/>
    <w:rsid w:val="00192FF5"/>
    <w:rsid w:val="0019383E"/>
    <w:rsid w:val="001957EB"/>
    <w:rsid w:val="00195EE9"/>
    <w:rsid w:val="001975E1"/>
    <w:rsid w:val="001979D2"/>
    <w:rsid w:val="001A189B"/>
    <w:rsid w:val="001A1AD6"/>
    <w:rsid w:val="001A6552"/>
    <w:rsid w:val="001A78D6"/>
    <w:rsid w:val="001B070F"/>
    <w:rsid w:val="001B10A7"/>
    <w:rsid w:val="001B151D"/>
    <w:rsid w:val="001B1AF2"/>
    <w:rsid w:val="001B23A7"/>
    <w:rsid w:val="001B51ED"/>
    <w:rsid w:val="001B5AC5"/>
    <w:rsid w:val="001C08F7"/>
    <w:rsid w:val="001C155E"/>
    <w:rsid w:val="001C39DC"/>
    <w:rsid w:val="001C3AB7"/>
    <w:rsid w:val="001C3AF2"/>
    <w:rsid w:val="001C43AE"/>
    <w:rsid w:val="001C4D4B"/>
    <w:rsid w:val="001C6F77"/>
    <w:rsid w:val="001D0EEC"/>
    <w:rsid w:val="001D32D3"/>
    <w:rsid w:val="001D3808"/>
    <w:rsid w:val="001D428E"/>
    <w:rsid w:val="001D6FE8"/>
    <w:rsid w:val="001E12D9"/>
    <w:rsid w:val="001E2983"/>
    <w:rsid w:val="001E37A2"/>
    <w:rsid w:val="001E3B8D"/>
    <w:rsid w:val="001F2E14"/>
    <w:rsid w:val="001F4894"/>
    <w:rsid w:val="001F5F07"/>
    <w:rsid w:val="001F6F83"/>
    <w:rsid w:val="00203541"/>
    <w:rsid w:val="00204196"/>
    <w:rsid w:val="00210176"/>
    <w:rsid w:val="00211F4D"/>
    <w:rsid w:val="002125AB"/>
    <w:rsid w:val="0021454B"/>
    <w:rsid w:val="00214B97"/>
    <w:rsid w:val="00217CDF"/>
    <w:rsid w:val="00217CF4"/>
    <w:rsid w:val="00220AF2"/>
    <w:rsid w:val="002212CF"/>
    <w:rsid w:val="002251F1"/>
    <w:rsid w:val="00231F12"/>
    <w:rsid w:val="00233E89"/>
    <w:rsid w:val="00235505"/>
    <w:rsid w:val="00236A3F"/>
    <w:rsid w:val="00236D1F"/>
    <w:rsid w:val="00237AE0"/>
    <w:rsid w:val="00243A7F"/>
    <w:rsid w:val="00244234"/>
    <w:rsid w:val="00246DB3"/>
    <w:rsid w:val="00247605"/>
    <w:rsid w:val="00251E81"/>
    <w:rsid w:val="002532AB"/>
    <w:rsid w:val="002534D9"/>
    <w:rsid w:val="002538DB"/>
    <w:rsid w:val="00256446"/>
    <w:rsid w:val="00261B70"/>
    <w:rsid w:val="00264E97"/>
    <w:rsid w:val="00265ACC"/>
    <w:rsid w:val="00271421"/>
    <w:rsid w:val="00271C1C"/>
    <w:rsid w:val="00274ECE"/>
    <w:rsid w:val="0027516F"/>
    <w:rsid w:val="002810D1"/>
    <w:rsid w:val="0028293E"/>
    <w:rsid w:val="00284018"/>
    <w:rsid w:val="00285A9B"/>
    <w:rsid w:val="002867FF"/>
    <w:rsid w:val="00287C49"/>
    <w:rsid w:val="002902E0"/>
    <w:rsid w:val="00290FD0"/>
    <w:rsid w:val="00291E96"/>
    <w:rsid w:val="00293851"/>
    <w:rsid w:val="002939E1"/>
    <w:rsid w:val="00293A5F"/>
    <w:rsid w:val="00295A2B"/>
    <w:rsid w:val="00295DAA"/>
    <w:rsid w:val="00296341"/>
    <w:rsid w:val="002964D9"/>
    <w:rsid w:val="002973E0"/>
    <w:rsid w:val="00297653"/>
    <w:rsid w:val="0029777D"/>
    <w:rsid w:val="002A0610"/>
    <w:rsid w:val="002A0EC4"/>
    <w:rsid w:val="002A32FF"/>
    <w:rsid w:val="002A43E8"/>
    <w:rsid w:val="002A5BCA"/>
    <w:rsid w:val="002A5CA0"/>
    <w:rsid w:val="002A60AD"/>
    <w:rsid w:val="002A6657"/>
    <w:rsid w:val="002B10D4"/>
    <w:rsid w:val="002B119C"/>
    <w:rsid w:val="002B1F6F"/>
    <w:rsid w:val="002B2163"/>
    <w:rsid w:val="002B7678"/>
    <w:rsid w:val="002B7C1E"/>
    <w:rsid w:val="002C6A4C"/>
    <w:rsid w:val="002C7ADA"/>
    <w:rsid w:val="002D0903"/>
    <w:rsid w:val="002D3978"/>
    <w:rsid w:val="002D4143"/>
    <w:rsid w:val="002D5288"/>
    <w:rsid w:val="002D7AB6"/>
    <w:rsid w:val="002E1EA2"/>
    <w:rsid w:val="002E3336"/>
    <w:rsid w:val="002E35F2"/>
    <w:rsid w:val="002E3AD9"/>
    <w:rsid w:val="002E5B7E"/>
    <w:rsid w:val="002E7095"/>
    <w:rsid w:val="002F027D"/>
    <w:rsid w:val="002F31BB"/>
    <w:rsid w:val="002F5194"/>
    <w:rsid w:val="002F6D22"/>
    <w:rsid w:val="002F7BE1"/>
    <w:rsid w:val="00300E5A"/>
    <w:rsid w:val="00301D23"/>
    <w:rsid w:val="00302365"/>
    <w:rsid w:val="00303499"/>
    <w:rsid w:val="00303B19"/>
    <w:rsid w:val="00304BBB"/>
    <w:rsid w:val="003055FC"/>
    <w:rsid w:val="00305887"/>
    <w:rsid w:val="0031025C"/>
    <w:rsid w:val="003117E5"/>
    <w:rsid w:val="003124D4"/>
    <w:rsid w:val="0031436B"/>
    <w:rsid w:val="00317224"/>
    <w:rsid w:val="0031731D"/>
    <w:rsid w:val="00317D70"/>
    <w:rsid w:val="00324655"/>
    <w:rsid w:val="003303A5"/>
    <w:rsid w:val="003307A9"/>
    <w:rsid w:val="003314E7"/>
    <w:rsid w:val="0033297E"/>
    <w:rsid w:val="00332D1B"/>
    <w:rsid w:val="00332FC8"/>
    <w:rsid w:val="00342578"/>
    <w:rsid w:val="00342B81"/>
    <w:rsid w:val="003472E6"/>
    <w:rsid w:val="003473A7"/>
    <w:rsid w:val="00351435"/>
    <w:rsid w:val="00353F1A"/>
    <w:rsid w:val="003545EA"/>
    <w:rsid w:val="00356188"/>
    <w:rsid w:val="00357539"/>
    <w:rsid w:val="00357E7D"/>
    <w:rsid w:val="003608ED"/>
    <w:rsid w:val="003610F5"/>
    <w:rsid w:val="00362ABD"/>
    <w:rsid w:val="0036480C"/>
    <w:rsid w:val="00364CBC"/>
    <w:rsid w:val="00366427"/>
    <w:rsid w:val="00367951"/>
    <w:rsid w:val="00370590"/>
    <w:rsid w:val="00376156"/>
    <w:rsid w:val="00380F2C"/>
    <w:rsid w:val="0038113F"/>
    <w:rsid w:val="0038143A"/>
    <w:rsid w:val="0038161E"/>
    <w:rsid w:val="00383134"/>
    <w:rsid w:val="00384AD0"/>
    <w:rsid w:val="00385220"/>
    <w:rsid w:val="003905F7"/>
    <w:rsid w:val="00391BCA"/>
    <w:rsid w:val="003920AE"/>
    <w:rsid w:val="00392FE3"/>
    <w:rsid w:val="00394894"/>
    <w:rsid w:val="00395F22"/>
    <w:rsid w:val="0039695B"/>
    <w:rsid w:val="00396EAE"/>
    <w:rsid w:val="00397B8F"/>
    <w:rsid w:val="003A0015"/>
    <w:rsid w:val="003A03F0"/>
    <w:rsid w:val="003A1F2B"/>
    <w:rsid w:val="003A2A63"/>
    <w:rsid w:val="003A57BF"/>
    <w:rsid w:val="003A7C55"/>
    <w:rsid w:val="003A7F4A"/>
    <w:rsid w:val="003B059E"/>
    <w:rsid w:val="003B3F0E"/>
    <w:rsid w:val="003B4309"/>
    <w:rsid w:val="003B4540"/>
    <w:rsid w:val="003B54F4"/>
    <w:rsid w:val="003B5612"/>
    <w:rsid w:val="003B5AF7"/>
    <w:rsid w:val="003B62C0"/>
    <w:rsid w:val="003C1EF0"/>
    <w:rsid w:val="003C2814"/>
    <w:rsid w:val="003C339D"/>
    <w:rsid w:val="003D0CBD"/>
    <w:rsid w:val="003D0D74"/>
    <w:rsid w:val="003D1576"/>
    <w:rsid w:val="003D2E90"/>
    <w:rsid w:val="003D3DA8"/>
    <w:rsid w:val="003D4D3B"/>
    <w:rsid w:val="003D5673"/>
    <w:rsid w:val="003D7749"/>
    <w:rsid w:val="003E412D"/>
    <w:rsid w:val="003F00AA"/>
    <w:rsid w:val="003F2724"/>
    <w:rsid w:val="003F7806"/>
    <w:rsid w:val="00400866"/>
    <w:rsid w:val="004027D3"/>
    <w:rsid w:val="00404862"/>
    <w:rsid w:val="004073B2"/>
    <w:rsid w:val="0040757A"/>
    <w:rsid w:val="0041006A"/>
    <w:rsid w:val="00414625"/>
    <w:rsid w:val="00415A0A"/>
    <w:rsid w:val="00421012"/>
    <w:rsid w:val="00424C66"/>
    <w:rsid w:val="004314C7"/>
    <w:rsid w:val="00431AE3"/>
    <w:rsid w:val="00432782"/>
    <w:rsid w:val="00434181"/>
    <w:rsid w:val="00436199"/>
    <w:rsid w:val="00436497"/>
    <w:rsid w:val="0043771D"/>
    <w:rsid w:val="00440672"/>
    <w:rsid w:val="004406DA"/>
    <w:rsid w:val="00440997"/>
    <w:rsid w:val="004411B9"/>
    <w:rsid w:val="0044244F"/>
    <w:rsid w:val="00444168"/>
    <w:rsid w:val="00451652"/>
    <w:rsid w:val="0045240D"/>
    <w:rsid w:val="0045457A"/>
    <w:rsid w:val="00454D1A"/>
    <w:rsid w:val="00457BB1"/>
    <w:rsid w:val="0046184F"/>
    <w:rsid w:val="0046453C"/>
    <w:rsid w:val="004652C1"/>
    <w:rsid w:val="00465329"/>
    <w:rsid w:val="00467DFE"/>
    <w:rsid w:val="004712CF"/>
    <w:rsid w:val="00474902"/>
    <w:rsid w:val="0047755D"/>
    <w:rsid w:val="00477F35"/>
    <w:rsid w:val="004820F2"/>
    <w:rsid w:val="00483002"/>
    <w:rsid w:val="00483B5B"/>
    <w:rsid w:val="00484904"/>
    <w:rsid w:val="00487837"/>
    <w:rsid w:val="00487F8B"/>
    <w:rsid w:val="004908E8"/>
    <w:rsid w:val="00493040"/>
    <w:rsid w:val="00493A0E"/>
    <w:rsid w:val="00496D8D"/>
    <w:rsid w:val="004A36F8"/>
    <w:rsid w:val="004A60F5"/>
    <w:rsid w:val="004A6A4D"/>
    <w:rsid w:val="004B0CAF"/>
    <w:rsid w:val="004B647E"/>
    <w:rsid w:val="004B7594"/>
    <w:rsid w:val="004C010C"/>
    <w:rsid w:val="004C05D5"/>
    <w:rsid w:val="004C2944"/>
    <w:rsid w:val="004C2FCD"/>
    <w:rsid w:val="004C366C"/>
    <w:rsid w:val="004C5B6D"/>
    <w:rsid w:val="004C5D54"/>
    <w:rsid w:val="004D0C81"/>
    <w:rsid w:val="004D25EF"/>
    <w:rsid w:val="004D2F0E"/>
    <w:rsid w:val="004D46F6"/>
    <w:rsid w:val="004D4BCC"/>
    <w:rsid w:val="004D4FCF"/>
    <w:rsid w:val="004D53D4"/>
    <w:rsid w:val="004D6581"/>
    <w:rsid w:val="004D6A4C"/>
    <w:rsid w:val="004D6E11"/>
    <w:rsid w:val="004D7FDF"/>
    <w:rsid w:val="004E144F"/>
    <w:rsid w:val="004E2293"/>
    <w:rsid w:val="004E48E7"/>
    <w:rsid w:val="004E535F"/>
    <w:rsid w:val="004E53FF"/>
    <w:rsid w:val="004E6864"/>
    <w:rsid w:val="004E6EBE"/>
    <w:rsid w:val="004F030C"/>
    <w:rsid w:val="004F319A"/>
    <w:rsid w:val="004F4291"/>
    <w:rsid w:val="00500DEE"/>
    <w:rsid w:val="00501A0E"/>
    <w:rsid w:val="00504351"/>
    <w:rsid w:val="00504CB8"/>
    <w:rsid w:val="00505685"/>
    <w:rsid w:val="00510232"/>
    <w:rsid w:val="005129D3"/>
    <w:rsid w:val="00512FC5"/>
    <w:rsid w:val="00514CE8"/>
    <w:rsid w:val="005157A1"/>
    <w:rsid w:val="00515D5D"/>
    <w:rsid w:val="00516A86"/>
    <w:rsid w:val="0051795C"/>
    <w:rsid w:val="005225B0"/>
    <w:rsid w:val="00524947"/>
    <w:rsid w:val="00526049"/>
    <w:rsid w:val="00527BA0"/>
    <w:rsid w:val="00532380"/>
    <w:rsid w:val="00534883"/>
    <w:rsid w:val="00535308"/>
    <w:rsid w:val="005364B1"/>
    <w:rsid w:val="00544D6B"/>
    <w:rsid w:val="0054531C"/>
    <w:rsid w:val="005455FD"/>
    <w:rsid w:val="00546096"/>
    <w:rsid w:val="005469B8"/>
    <w:rsid w:val="00546D9D"/>
    <w:rsid w:val="00551E3B"/>
    <w:rsid w:val="005557FE"/>
    <w:rsid w:val="00556613"/>
    <w:rsid w:val="005571A4"/>
    <w:rsid w:val="005602B3"/>
    <w:rsid w:val="00560679"/>
    <w:rsid w:val="00562C3F"/>
    <w:rsid w:val="00571175"/>
    <w:rsid w:val="00571DD5"/>
    <w:rsid w:val="00573F55"/>
    <w:rsid w:val="005764FA"/>
    <w:rsid w:val="00576D02"/>
    <w:rsid w:val="00577425"/>
    <w:rsid w:val="0058371F"/>
    <w:rsid w:val="00583DF4"/>
    <w:rsid w:val="00585309"/>
    <w:rsid w:val="00585A0D"/>
    <w:rsid w:val="005873AA"/>
    <w:rsid w:val="00592BF2"/>
    <w:rsid w:val="00593D50"/>
    <w:rsid w:val="00596861"/>
    <w:rsid w:val="005A2753"/>
    <w:rsid w:val="005A334E"/>
    <w:rsid w:val="005A3B8A"/>
    <w:rsid w:val="005A4BB7"/>
    <w:rsid w:val="005A7852"/>
    <w:rsid w:val="005A7BCD"/>
    <w:rsid w:val="005B68D9"/>
    <w:rsid w:val="005B7452"/>
    <w:rsid w:val="005C48BA"/>
    <w:rsid w:val="005C5451"/>
    <w:rsid w:val="005C61F7"/>
    <w:rsid w:val="005C7892"/>
    <w:rsid w:val="005D3825"/>
    <w:rsid w:val="005D3942"/>
    <w:rsid w:val="005D6270"/>
    <w:rsid w:val="005D6874"/>
    <w:rsid w:val="005D7D4E"/>
    <w:rsid w:val="005E0190"/>
    <w:rsid w:val="005E32B9"/>
    <w:rsid w:val="005E4512"/>
    <w:rsid w:val="005E4D4A"/>
    <w:rsid w:val="005E4E7C"/>
    <w:rsid w:val="005E5414"/>
    <w:rsid w:val="005E5473"/>
    <w:rsid w:val="005E6A2E"/>
    <w:rsid w:val="005E7785"/>
    <w:rsid w:val="005F2CAE"/>
    <w:rsid w:val="005F3C50"/>
    <w:rsid w:val="005F6252"/>
    <w:rsid w:val="005F7131"/>
    <w:rsid w:val="005F7FC9"/>
    <w:rsid w:val="0060230B"/>
    <w:rsid w:val="00603BCA"/>
    <w:rsid w:val="00606993"/>
    <w:rsid w:val="00611580"/>
    <w:rsid w:val="006135ED"/>
    <w:rsid w:val="00614072"/>
    <w:rsid w:val="00620AE0"/>
    <w:rsid w:val="00621653"/>
    <w:rsid w:val="00622423"/>
    <w:rsid w:val="00624E10"/>
    <w:rsid w:val="00625B89"/>
    <w:rsid w:val="00626152"/>
    <w:rsid w:val="00627677"/>
    <w:rsid w:val="00630515"/>
    <w:rsid w:val="00630B32"/>
    <w:rsid w:val="00635516"/>
    <w:rsid w:val="006361A1"/>
    <w:rsid w:val="00640A13"/>
    <w:rsid w:val="00642454"/>
    <w:rsid w:val="006426CB"/>
    <w:rsid w:val="00644062"/>
    <w:rsid w:val="006454C1"/>
    <w:rsid w:val="00645C49"/>
    <w:rsid w:val="00646A36"/>
    <w:rsid w:val="00646DD9"/>
    <w:rsid w:val="00650535"/>
    <w:rsid w:val="00652BDF"/>
    <w:rsid w:val="00653279"/>
    <w:rsid w:val="00654C97"/>
    <w:rsid w:val="0066156C"/>
    <w:rsid w:val="006625C4"/>
    <w:rsid w:val="006710CF"/>
    <w:rsid w:val="00677AC0"/>
    <w:rsid w:val="0068216E"/>
    <w:rsid w:val="00682CC2"/>
    <w:rsid w:val="00684939"/>
    <w:rsid w:val="00684A15"/>
    <w:rsid w:val="00685608"/>
    <w:rsid w:val="00687EFF"/>
    <w:rsid w:val="00690EC0"/>
    <w:rsid w:val="006913B7"/>
    <w:rsid w:val="00691551"/>
    <w:rsid w:val="006921CF"/>
    <w:rsid w:val="00692667"/>
    <w:rsid w:val="006A205D"/>
    <w:rsid w:val="006A3AA4"/>
    <w:rsid w:val="006A652F"/>
    <w:rsid w:val="006A7FE6"/>
    <w:rsid w:val="006B1863"/>
    <w:rsid w:val="006B1A9F"/>
    <w:rsid w:val="006B1FCA"/>
    <w:rsid w:val="006B3BDB"/>
    <w:rsid w:val="006B5216"/>
    <w:rsid w:val="006C04D4"/>
    <w:rsid w:val="006C283B"/>
    <w:rsid w:val="006C3E56"/>
    <w:rsid w:val="006C43AC"/>
    <w:rsid w:val="006C53AB"/>
    <w:rsid w:val="006D10A3"/>
    <w:rsid w:val="006D1791"/>
    <w:rsid w:val="006D1896"/>
    <w:rsid w:val="006D1EC3"/>
    <w:rsid w:val="006D2E64"/>
    <w:rsid w:val="006D50A4"/>
    <w:rsid w:val="006D5A4A"/>
    <w:rsid w:val="006E2F52"/>
    <w:rsid w:val="006E54B5"/>
    <w:rsid w:val="006F0C60"/>
    <w:rsid w:val="006F132E"/>
    <w:rsid w:val="00701A38"/>
    <w:rsid w:val="007023E1"/>
    <w:rsid w:val="00702A9F"/>
    <w:rsid w:val="00702E9E"/>
    <w:rsid w:val="00703925"/>
    <w:rsid w:val="00706935"/>
    <w:rsid w:val="00711044"/>
    <w:rsid w:val="00712ACB"/>
    <w:rsid w:val="007170A6"/>
    <w:rsid w:val="00720B2A"/>
    <w:rsid w:val="00722D05"/>
    <w:rsid w:val="00724663"/>
    <w:rsid w:val="00725C5A"/>
    <w:rsid w:val="00726003"/>
    <w:rsid w:val="00731C8F"/>
    <w:rsid w:val="00732CE7"/>
    <w:rsid w:val="00732F0E"/>
    <w:rsid w:val="00735511"/>
    <w:rsid w:val="007362F4"/>
    <w:rsid w:val="00737C09"/>
    <w:rsid w:val="00742F37"/>
    <w:rsid w:val="0074352E"/>
    <w:rsid w:val="00745F84"/>
    <w:rsid w:val="00746691"/>
    <w:rsid w:val="00747792"/>
    <w:rsid w:val="00751F19"/>
    <w:rsid w:val="00753B61"/>
    <w:rsid w:val="007546C2"/>
    <w:rsid w:val="00760CEB"/>
    <w:rsid w:val="0076129A"/>
    <w:rsid w:val="00761B4B"/>
    <w:rsid w:val="00762BD5"/>
    <w:rsid w:val="00764392"/>
    <w:rsid w:val="0076440F"/>
    <w:rsid w:val="00767A25"/>
    <w:rsid w:val="00774523"/>
    <w:rsid w:val="007843C0"/>
    <w:rsid w:val="00791550"/>
    <w:rsid w:val="007916EC"/>
    <w:rsid w:val="00794920"/>
    <w:rsid w:val="007970F2"/>
    <w:rsid w:val="00797D54"/>
    <w:rsid w:val="007A2FA2"/>
    <w:rsid w:val="007A48D4"/>
    <w:rsid w:val="007A4F16"/>
    <w:rsid w:val="007B0DBB"/>
    <w:rsid w:val="007B10D5"/>
    <w:rsid w:val="007C1832"/>
    <w:rsid w:val="007C2B3A"/>
    <w:rsid w:val="007C3BE9"/>
    <w:rsid w:val="007C7B4D"/>
    <w:rsid w:val="007D0138"/>
    <w:rsid w:val="007D43A5"/>
    <w:rsid w:val="007D4A56"/>
    <w:rsid w:val="007E166E"/>
    <w:rsid w:val="007E16BA"/>
    <w:rsid w:val="007E756C"/>
    <w:rsid w:val="007E76E6"/>
    <w:rsid w:val="007E7C42"/>
    <w:rsid w:val="007E7C9C"/>
    <w:rsid w:val="007F2754"/>
    <w:rsid w:val="007F3C71"/>
    <w:rsid w:val="007F46BB"/>
    <w:rsid w:val="007F4F1E"/>
    <w:rsid w:val="00801DF5"/>
    <w:rsid w:val="0080464A"/>
    <w:rsid w:val="00807431"/>
    <w:rsid w:val="00807E37"/>
    <w:rsid w:val="0081392F"/>
    <w:rsid w:val="008144DC"/>
    <w:rsid w:val="0081454C"/>
    <w:rsid w:val="00815D71"/>
    <w:rsid w:val="00817C5A"/>
    <w:rsid w:val="0082117D"/>
    <w:rsid w:val="00824475"/>
    <w:rsid w:val="0082495A"/>
    <w:rsid w:val="00825B45"/>
    <w:rsid w:val="00830371"/>
    <w:rsid w:val="00831A35"/>
    <w:rsid w:val="008361E4"/>
    <w:rsid w:val="00841B14"/>
    <w:rsid w:val="00843262"/>
    <w:rsid w:val="00845423"/>
    <w:rsid w:val="00845C3A"/>
    <w:rsid w:val="00847F84"/>
    <w:rsid w:val="00851688"/>
    <w:rsid w:val="00854708"/>
    <w:rsid w:val="008560B2"/>
    <w:rsid w:val="00864913"/>
    <w:rsid w:val="00864953"/>
    <w:rsid w:val="008725CE"/>
    <w:rsid w:val="00873BA9"/>
    <w:rsid w:val="0087417C"/>
    <w:rsid w:val="00875B7D"/>
    <w:rsid w:val="00876162"/>
    <w:rsid w:val="0087651E"/>
    <w:rsid w:val="0087776C"/>
    <w:rsid w:val="00880505"/>
    <w:rsid w:val="0088059F"/>
    <w:rsid w:val="00882A0B"/>
    <w:rsid w:val="0088395B"/>
    <w:rsid w:val="00883B1A"/>
    <w:rsid w:val="00884977"/>
    <w:rsid w:val="0088688A"/>
    <w:rsid w:val="00890D62"/>
    <w:rsid w:val="008935EA"/>
    <w:rsid w:val="00893861"/>
    <w:rsid w:val="00893F6F"/>
    <w:rsid w:val="00894208"/>
    <w:rsid w:val="00896679"/>
    <w:rsid w:val="00896E42"/>
    <w:rsid w:val="008A0B75"/>
    <w:rsid w:val="008A19A5"/>
    <w:rsid w:val="008B5DC7"/>
    <w:rsid w:val="008B6D30"/>
    <w:rsid w:val="008B7E6B"/>
    <w:rsid w:val="008C0DCD"/>
    <w:rsid w:val="008C2531"/>
    <w:rsid w:val="008C5AAC"/>
    <w:rsid w:val="008C64FF"/>
    <w:rsid w:val="008C6E42"/>
    <w:rsid w:val="008D206E"/>
    <w:rsid w:val="008D2D0A"/>
    <w:rsid w:val="008D3182"/>
    <w:rsid w:val="008D3959"/>
    <w:rsid w:val="008D5090"/>
    <w:rsid w:val="008D77A7"/>
    <w:rsid w:val="008E0A4B"/>
    <w:rsid w:val="008E0A7F"/>
    <w:rsid w:val="008E1548"/>
    <w:rsid w:val="008E24F2"/>
    <w:rsid w:val="008E4A22"/>
    <w:rsid w:val="008E4B4B"/>
    <w:rsid w:val="008E4E90"/>
    <w:rsid w:val="008E6967"/>
    <w:rsid w:val="008E74F7"/>
    <w:rsid w:val="008F0033"/>
    <w:rsid w:val="008F0EA4"/>
    <w:rsid w:val="008F0FB5"/>
    <w:rsid w:val="008F2875"/>
    <w:rsid w:val="008F371F"/>
    <w:rsid w:val="008F5106"/>
    <w:rsid w:val="008F6C4A"/>
    <w:rsid w:val="00900EFE"/>
    <w:rsid w:val="00902046"/>
    <w:rsid w:val="0090240E"/>
    <w:rsid w:val="0090579A"/>
    <w:rsid w:val="00905CD3"/>
    <w:rsid w:val="009076DE"/>
    <w:rsid w:val="009111AE"/>
    <w:rsid w:val="00912585"/>
    <w:rsid w:val="009142DB"/>
    <w:rsid w:val="0091496B"/>
    <w:rsid w:val="0092458F"/>
    <w:rsid w:val="00927A33"/>
    <w:rsid w:val="009315B9"/>
    <w:rsid w:val="00931E04"/>
    <w:rsid w:val="00935186"/>
    <w:rsid w:val="00935C23"/>
    <w:rsid w:val="00935CEF"/>
    <w:rsid w:val="00937E7B"/>
    <w:rsid w:val="009410F7"/>
    <w:rsid w:val="00941D1C"/>
    <w:rsid w:val="00942ED2"/>
    <w:rsid w:val="009448EF"/>
    <w:rsid w:val="0094662A"/>
    <w:rsid w:val="009467F3"/>
    <w:rsid w:val="0094723D"/>
    <w:rsid w:val="0095051C"/>
    <w:rsid w:val="00953B11"/>
    <w:rsid w:val="00954013"/>
    <w:rsid w:val="00954AD3"/>
    <w:rsid w:val="009559C8"/>
    <w:rsid w:val="00955CA2"/>
    <w:rsid w:val="00956162"/>
    <w:rsid w:val="009563ED"/>
    <w:rsid w:val="009571DE"/>
    <w:rsid w:val="00957585"/>
    <w:rsid w:val="00957DEC"/>
    <w:rsid w:val="00964899"/>
    <w:rsid w:val="00965BCB"/>
    <w:rsid w:val="0096706E"/>
    <w:rsid w:val="0097251E"/>
    <w:rsid w:val="00972BF4"/>
    <w:rsid w:val="00974544"/>
    <w:rsid w:val="00976F92"/>
    <w:rsid w:val="0097787D"/>
    <w:rsid w:val="00980BDA"/>
    <w:rsid w:val="00984337"/>
    <w:rsid w:val="00986A24"/>
    <w:rsid w:val="00993B83"/>
    <w:rsid w:val="00995A31"/>
    <w:rsid w:val="00997CEA"/>
    <w:rsid w:val="009A111A"/>
    <w:rsid w:val="009A1FD4"/>
    <w:rsid w:val="009A2DB5"/>
    <w:rsid w:val="009A319D"/>
    <w:rsid w:val="009A5CC8"/>
    <w:rsid w:val="009A6068"/>
    <w:rsid w:val="009A6AE9"/>
    <w:rsid w:val="009A78B8"/>
    <w:rsid w:val="009B12DB"/>
    <w:rsid w:val="009B1B30"/>
    <w:rsid w:val="009B1DDC"/>
    <w:rsid w:val="009B3112"/>
    <w:rsid w:val="009B3A7C"/>
    <w:rsid w:val="009B5597"/>
    <w:rsid w:val="009C121F"/>
    <w:rsid w:val="009C1424"/>
    <w:rsid w:val="009C1A9D"/>
    <w:rsid w:val="009C44D0"/>
    <w:rsid w:val="009C5DCA"/>
    <w:rsid w:val="009C75F2"/>
    <w:rsid w:val="009D0B4D"/>
    <w:rsid w:val="009D0F7B"/>
    <w:rsid w:val="009D3394"/>
    <w:rsid w:val="009D5767"/>
    <w:rsid w:val="009D6CF6"/>
    <w:rsid w:val="009D7EAF"/>
    <w:rsid w:val="009E2F4B"/>
    <w:rsid w:val="009E70F5"/>
    <w:rsid w:val="009E7FB0"/>
    <w:rsid w:val="009F19EB"/>
    <w:rsid w:val="009F5596"/>
    <w:rsid w:val="009F7BA3"/>
    <w:rsid w:val="00A01835"/>
    <w:rsid w:val="00A025D7"/>
    <w:rsid w:val="00A04026"/>
    <w:rsid w:val="00A04B7A"/>
    <w:rsid w:val="00A04C30"/>
    <w:rsid w:val="00A0501C"/>
    <w:rsid w:val="00A079FF"/>
    <w:rsid w:val="00A07EE1"/>
    <w:rsid w:val="00A1057E"/>
    <w:rsid w:val="00A12447"/>
    <w:rsid w:val="00A144C0"/>
    <w:rsid w:val="00A162D2"/>
    <w:rsid w:val="00A16AB3"/>
    <w:rsid w:val="00A201E5"/>
    <w:rsid w:val="00A20C24"/>
    <w:rsid w:val="00A228CB"/>
    <w:rsid w:val="00A3055D"/>
    <w:rsid w:val="00A306A7"/>
    <w:rsid w:val="00A306AF"/>
    <w:rsid w:val="00A331E9"/>
    <w:rsid w:val="00A332CD"/>
    <w:rsid w:val="00A33989"/>
    <w:rsid w:val="00A3441A"/>
    <w:rsid w:val="00A428D3"/>
    <w:rsid w:val="00A42C31"/>
    <w:rsid w:val="00A43007"/>
    <w:rsid w:val="00A47E6C"/>
    <w:rsid w:val="00A50DC4"/>
    <w:rsid w:val="00A51C1D"/>
    <w:rsid w:val="00A54ACE"/>
    <w:rsid w:val="00A54D9C"/>
    <w:rsid w:val="00A55B12"/>
    <w:rsid w:val="00A6098C"/>
    <w:rsid w:val="00A6158B"/>
    <w:rsid w:val="00A63295"/>
    <w:rsid w:val="00A663E8"/>
    <w:rsid w:val="00A700E9"/>
    <w:rsid w:val="00A7068B"/>
    <w:rsid w:val="00A73B1B"/>
    <w:rsid w:val="00A7449B"/>
    <w:rsid w:val="00A76695"/>
    <w:rsid w:val="00A80AE3"/>
    <w:rsid w:val="00A81B7C"/>
    <w:rsid w:val="00A83CEE"/>
    <w:rsid w:val="00A855CA"/>
    <w:rsid w:val="00A85A9E"/>
    <w:rsid w:val="00A871C4"/>
    <w:rsid w:val="00A958A1"/>
    <w:rsid w:val="00A9601B"/>
    <w:rsid w:val="00AA0839"/>
    <w:rsid w:val="00AA3ED1"/>
    <w:rsid w:val="00AA4E42"/>
    <w:rsid w:val="00AA7802"/>
    <w:rsid w:val="00AA783D"/>
    <w:rsid w:val="00AA7A80"/>
    <w:rsid w:val="00AB0440"/>
    <w:rsid w:val="00AB29F4"/>
    <w:rsid w:val="00AB340E"/>
    <w:rsid w:val="00AB7163"/>
    <w:rsid w:val="00AC1D25"/>
    <w:rsid w:val="00AC2B63"/>
    <w:rsid w:val="00AC3EBA"/>
    <w:rsid w:val="00AC5A55"/>
    <w:rsid w:val="00AC6F70"/>
    <w:rsid w:val="00AC76C6"/>
    <w:rsid w:val="00AD54BE"/>
    <w:rsid w:val="00AD711B"/>
    <w:rsid w:val="00AD7C61"/>
    <w:rsid w:val="00AE1E16"/>
    <w:rsid w:val="00AE2C8A"/>
    <w:rsid w:val="00AE5BB7"/>
    <w:rsid w:val="00AE6C76"/>
    <w:rsid w:val="00AF2092"/>
    <w:rsid w:val="00AF273E"/>
    <w:rsid w:val="00AF3344"/>
    <w:rsid w:val="00AF3467"/>
    <w:rsid w:val="00AF3ECC"/>
    <w:rsid w:val="00AF6252"/>
    <w:rsid w:val="00AF79BB"/>
    <w:rsid w:val="00AF7E73"/>
    <w:rsid w:val="00B00B31"/>
    <w:rsid w:val="00B00D63"/>
    <w:rsid w:val="00B022F6"/>
    <w:rsid w:val="00B0230F"/>
    <w:rsid w:val="00B02A36"/>
    <w:rsid w:val="00B03465"/>
    <w:rsid w:val="00B03AD5"/>
    <w:rsid w:val="00B060D3"/>
    <w:rsid w:val="00B067A1"/>
    <w:rsid w:val="00B06950"/>
    <w:rsid w:val="00B1068C"/>
    <w:rsid w:val="00B20AED"/>
    <w:rsid w:val="00B20CA4"/>
    <w:rsid w:val="00B23A05"/>
    <w:rsid w:val="00B26B6D"/>
    <w:rsid w:val="00B30905"/>
    <w:rsid w:val="00B334EA"/>
    <w:rsid w:val="00B36620"/>
    <w:rsid w:val="00B37546"/>
    <w:rsid w:val="00B43394"/>
    <w:rsid w:val="00B45811"/>
    <w:rsid w:val="00B464A0"/>
    <w:rsid w:val="00B4771D"/>
    <w:rsid w:val="00B540F2"/>
    <w:rsid w:val="00B55FEC"/>
    <w:rsid w:val="00B57E16"/>
    <w:rsid w:val="00B60BA1"/>
    <w:rsid w:val="00B613AC"/>
    <w:rsid w:val="00B625F7"/>
    <w:rsid w:val="00B637F7"/>
    <w:rsid w:val="00B640DA"/>
    <w:rsid w:val="00B67010"/>
    <w:rsid w:val="00B70C0D"/>
    <w:rsid w:val="00B71078"/>
    <w:rsid w:val="00B710E5"/>
    <w:rsid w:val="00B72D55"/>
    <w:rsid w:val="00B75DBC"/>
    <w:rsid w:val="00B75E8F"/>
    <w:rsid w:val="00B769E3"/>
    <w:rsid w:val="00B80547"/>
    <w:rsid w:val="00B80BEE"/>
    <w:rsid w:val="00B814BC"/>
    <w:rsid w:val="00B82D91"/>
    <w:rsid w:val="00B919E5"/>
    <w:rsid w:val="00B93877"/>
    <w:rsid w:val="00B96E17"/>
    <w:rsid w:val="00BA2056"/>
    <w:rsid w:val="00BA2776"/>
    <w:rsid w:val="00BA55EB"/>
    <w:rsid w:val="00BA77ED"/>
    <w:rsid w:val="00BA7C8E"/>
    <w:rsid w:val="00BB6B6E"/>
    <w:rsid w:val="00BB7702"/>
    <w:rsid w:val="00BC0160"/>
    <w:rsid w:val="00BC1999"/>
    <w:rsid w:val="00BC4674"/>
    <w:rsid w:val="00BC696F"/>
    <w:rsid w:val="00BD2212"/>
    <w:rsid w:val="00BD34AF"/>
    <w:rsid w:val="00BE06F4"/>
    <w:rsid w:val="00BE23EF"/>
    <w:rsid w:val="00BE3F97"/>
    <w:rsid w:val="00BE594A"/>
    <w:rsid w:val="00BE6E1E"/>
    <w:rsid w:val="00BE7B85"/>
    <w:rsid w:val="00BF2F51"/>
    <w:rsid w:val="00BF3229"/>
    <w:rsid w:val="00BF5EA2"/>
    <w:rsid w:val="00C01FDF"/>
    <w:rsid w:val="00C041C0"/>
    <w:rsid w:val="00C04548"/>
    <w:rsid w:val="00C06814"/>
    <w:rsid w:val="00C07B06"/>
    <w:rsid w:val="00C13F51"/>
    <w:rsid w:val="00C14E45"/>
    <w:rsid w:val="00C16B14"/>
    <w:rsid w:val="00C2155A"/>
    <w:rsid w:val="00C315F3"/>
    <w:rsid w:val="00C331B0"/>
    <w:rsid w:val="00C34072"/>
    <w:rsid w:val="00C35AE7"/>
    <w:rsid w:val="00C35F99"/>
    <w:rsid w:val="00C410E4"/>
    <w:rsid w:val="00C417E9"/>
    <w:rsid w:val="00C43D2C"/>
    <w:rsid w:val="00C44CBA"/>
    <w:rsid w:val="00C452AD"/>
    <w:rsid w:val="00C4750F"/>
    <w:rsid w:val="00C500D2"/>
    <w:rsid w:val="00C51195"/>
    <w:rsid w:val="00C520EC"/>
    <w:rsid w:val="00C5492F"/>
    <w:rsid w:val="00C55A7F"/>
    <w:rsid w:val="00C6062E"/>
    <w:rsid w:val="00C629DA"/>
    <w:rsid w:val="00C6637B"/>
    <w:rsid w:val="00C66C03"/>
    <w:rsid w:val="00C679D5"/>
    <w:rsid w:val="00C70E4E"/>
    <w:rsid w:val="00C747F0"/>
    <w:rsid w:val="00C7490E"/>
    <w:rsid w:val="00C752EC"/>
    <w:rsid w:val="00C75C74"/>
    <w:rsid w:val="00C77526"/>
    <w:rsid w:val="00C80335"/>
    <w:rsid w:val="00C807BA"/>
    <w:rsid w:val="00C80822"/>
    <w:rsid w:val="00C80C13"/>
    <w:rsid w:val="00C80F1C"/>
    <w:rsid w:val="00C81431"/>
    <w:rsid w:val="00C82E39"/>
    <w:rsid w:val="00C850AD"/>
    <w:rsid w:val="00C862BF"/>
    <w:rsid w:val="00C914DD"/>
    <w:rsid w:val="00C91730"/>
    <w:rsid w:val="00C95419"/>
    <w:rsid w:val="00CA0A1B"/>
    <w:rsid w:val="00CA0F3E"/>
    <w:rsid w:val="00CA24F8"/>
    <w:rsid w:val="00CA4671"/>
    <w:rsid w:val="00CA4902"/>
    <w:rsid w:val="00CA4D0A"/>
    <w:rsid w:val="00CA4E34"/>
    <w:rsid w:val="00CA600B"/>
    <w:rsid w:val="00CB095E"/>
    <w:rsid w:val="00CB097A"/>
    <w:rsid w:val="00CB1E49"/>
    <w:rsid w:val="00CB233A"/>
    <w:rsid w:val="00CB32D8"/>
    <w:rsid w:val="00CB4715"/>
    <w:rsid w:val="00CB5072"/>
    <w:rsid w:val="00CC10A3"/>
    <w:rsid w:val="00CC2A7D"/>
    <w:rsid w:val="00CD2222"/>
    <w:rsid w:val="00CD258D"/>
    <w:rsid w:val="00CD2779"/>
    <w:rsid w:val="00CD31EB"/>
    <w:rsid w:val="00CD3EFB"/>
    <w:rsid w:val="00CD438B"/>
    <w:rsid w:val="00CD528D"/>
    <w:rsid w:val="00CD5BB1"/>
    <w:rsid w:val="00CE2CAF"/>
    <w:rsid w:val="00CE35B6"/>
    <w:rsid w:val="00CE3872"/>
    <w:rsid w:val="00CE38CC"/>
    <w:rsid w:val="00CE4DED"/>
    <w:rsid w:val="00CE57CB"/>
    <w:rsid w:val="00CE7D5A"/>
    <w:rsid w:val="00CF4885"/>
    <w:rsid w:val="00CF68D9"/>
    <w:rsid w:val="00CF6C84"/>
    <w:rsid w:val="00D00F92"/>
    <w:rsid w:val="00D02C74"/>
    <w:rsid w:val="00D03C21"/>
    <w:rsid w:val="00D04C3E"/>
    <w:rsid w:val="00D0599B"/>
    <w:rsid w:val="00D073D1"/>
    <w:rsid w:val="00D1133F"/>
    <w:rsid w:val="00D116DB"/>
    <w:rsid w:val="00D13E02"/>
    <w:rsid w:val="00D168A6"/>
    <w:rsid w:val="00D21B2B"/>
    <w:rsid w:val="00D228B2"/>
    <w:rsid w:val="00D22AE5"/>
    <w:rsid w:val="00D2310B"/>
    <w:rsid w:val="00D23823"/>
    <w:rsid w:val="00D2474F"/>
    <w:rsid w:val="00D26543"/>
    <w:rsid w:val="00D271B1"/>
    <w:rsid w:val="00D34652"/>
    <w:rsid w:val="00D377CA"/>
    <w:rsid w:val="00D427C5"/>
    <w:rsid w:val="00D42ECA"/>
    <w:rsid w:val="00D4320F"/>
    <w:rsid w:val="00D433E3"/>
    <w:rsid w:val="00D43FAB"/>
    <w:rsid w:val="00D50F0F"/>
    <w:rsid w:val="00D529BB"/>
    <w:rsid w:val="00D54944"/>
    <w:rsid w:val="00D5749F"/>
    <w:rsid w:val="00D6308A"/>
    <w:rsid w:val="00D654C0"/>
    <w:rsid w:val="00D70E21"/>
    <w:rsid w:val="00D71EEE"/>
    <w:rsid w:val="00D732CB"/>
    <w:rsid w:val="00D74EAA"/>
    <w:rsid w:val="00D76FDD"/>
    <w:rsid w:val="00D80914"/>
    <w:rsid w:val="00D81084"/>
    <w:rsid w:val="00D81D8F"/>
    <w:rsid w:val="00D8452F"/>
    <w:rsid w:val="00D85EA0"/>
    <w:rsid w:val="00D87D8A"/>
    <w:rsid w:val="00D904A8"/>
    <w:rsid w:val="00D91B9D"/>
    <w:rsid w:val="00D9265F"/>
    <w:rsid w:val="00D92668"/>
    <w:rsid w:val="00D93667"/>
    <w:rsid w:val="00D9457A"/>
    <w:rsid w:val="00D95889"/>
    <w:rsid w:val="00D97080"/>
    <w:rsid w:val="00DA00C8"/>
    <w:rsid w:val="00DA242F"/>
    <w:rsid w:val="00DA275A"/>
    <w:rsid w:val="00DA36C6"/>
    <w:rsid w:val="00DA644C"/>
    <w:rsid w:val="00DA6492"/>
    <w:rsid w:val="00DB118D"/>
    <w:rsid w:val="00DB5200"/>
    <w:rsid w:val="00DB5514"/>
    <w:rsid w:val="00DB559F"/>
    <w:rsid w:val="00DB7130"/>
    <w:rsid w:val="00DC1B1A"/>
    <w:rsid w:val="00DC39AD"/>
    <w:rsid w:val="00DC522A"/>
    <w:rsid w:val="00DD12EF"/>
    <w:rsid w:val="00DD24E7"/>
    <w:rsid w:val="00DD3318"/>
    <w:rsid w:val="00DD5E74"/>
    <w:rsid w:val="00DE3FC5"/>
    <w:rsid w:val="00DE41EF"/>
    <w:rsid w:val="00DE701B"/>
    <w:rsid w:val="00DF2FDB"/>
    <w:rsid w:val="00DF5979"/>
    <w:rsid w:val="00DF6EA3"/>
    <w:rsid w:val="00E00D41"/>
    <w:rsid w:val="00E016F3"/>
    <w:rsid w:val="00E0437A"/>
    <w:rsid w:val="00E0591E"/>
    <w:rsid w:val="00E05ECA"/>
    <w:rsid w:val="00E06E77"/>
    <w:rsid w:val="00E0780B"/>
    <w:rsid w:val="00E078DD"/>
    <w:rsid w:val="00E07C6B"/>
    <w:rsid w:val="00E1316B"/>
    <w:rsid w:val="00E2516A"/>
    <w:rsid w:val="00E25E95"/>
    <w:rsid w:val="00E26CF4"/>
    <w:rsid w:val="00E30726"/>
    <w:rsid w:val="00E3249C"/>
    <w:rsid w:val="00E32663"/>
    <w:rsid w:val="00E37A1D"/>
    <w:rsid w:val="00E413F7"/>
    <w:rsid w:val="00E423B8"/>
    <w:rsid w:val="00E424E1"/>
    <w:rsid w:val="00E50C11"/>
    <w:rsid w:val="00E52359"/>
    <w:rsid w:val="00E603F1"/>
    <w:rsid w:val="00E607A4"/>
    <w:rsid w:val="00E63458"/>
    <w:rsid w:val="00E63BCA"/>
    <w:rsid w:val="00E6521B"/>
    <w:rsid w:val="00E66CEF"/>
    <w:rsid w:val="00E70090"/>
    <w:rsid w:val="00E725F7"/>
    <w:rsid w:val="00E75EC0"/>
    <w:rsid w:val="00E80DD1"/>
    <w:rsid w:val="00E8445E"/>
    <w:rsid w:val="00E84D48"/>
    <w:rsid w:val="00E86B80"/>
    <w:rsid w:val="00E86F66"/>
    <w:rsid w:val="00E8734A"/>
    <w:rsid w:val="00E97276"/>
    <w:rsid w:val="00EA1EF9"/>
    <w:rsid w:val="00EA27A8"/>
    <w:rsid w:val="00EA2F91"/>
    <w:rsid w:val="00EA3F47"/>
    <w:rsid w:val="00EA7CD6"/>
    <w:rsid w:val="00EB1C2F"/>
    <w:rsid w:val="00EB1F0F"/>
    <w:rsid w:val="00EB539C"/>
    <w:rsid w:val="00EB6711"/>
    <w:rsid w:val="00EC0520"/>
    <w:rsid w:val="00EC0661"/>
    <w:rsid w:val="00EC5272"/>
    <w:rsid w:val="00EC5DFE"/>
    <w:rsid w:val="00ED04BD"/>
    <w:rsid w:val="00ED1818"/>
    <w:rsid w:val="00ED40BA"/>
    <w:rsid w:val="00ED5E00"/>
    <w:rsid w:val="00ED6F34"/>
    <w:rsid w:val="00EE26AC"/>
    <w:rsid w:val="00EE28C6"/>
    <w:rsid w:val="00EE487C"/>
    <w:rsid w:val="00EF008B"/>
    <w:rsid w:val="00EF0650"/>
    <w:rsid w:val="00EF2458"/>
    <w:rsid w:val="00EF408C"/>
    <w:rsid w:val="00EF44E9"/>
    <w:rsid w:val="00EF52C3"/>
    <w:rsid w:val="00EF59CD"/>
    <w:rsid w:val="00EF5D8A"/>
    <w:rsid w:val="00EF658A"/>
    <w:rsid w:val="00EF69FC"/>
    <w:rsid w:val="00F00B52"/>
    <w:rsid w:val="00F01501"/>
    <w:rsid w:val="00F0319D"/>
    <w:rsid w:val="00F0381D"/>
    <w:rsid w:val="00F0447C"/>
    <w:rsid w:val="00F04943"/>
    <w:rsid w:val="00F06500"/>
    <w:rsid w:val="00F073CD"/>
    <w:rsid w:val="00F07521"/>
    <w:rsid w:val="00F13AEB"/>
    <w:rsid w:val="00F15414"/>
    <w:rsid w:val="00F16439"/>
    <w:rsid w:val="00F16F8F"/>
    <w:rsid w:val="00F17A0F"/>
    <w:rsid w:val="00F203E6"/>
    <w:rsid w:val="00F21EDD"/>
    <w:rsid w:val="00F243DE"/>
    <w:rsid w:val="00F2526A"/>
    <w:rsid w:val="00F25C83"/>
    <w:rsid w:val="00F264F8"/>
    <w:rsid w:val="00F267E6"/>
    <w:rsid w:val="00F271AB"/>
    <w:rsid w:val="00F274E2"/>
    <w:rsid w:val="00F27CB9"/>
    <w:rsid w:val="00F33AC4"/>
    <w:rsid w:val="00F36BC4"/>
    <w:rsid w:val="00F4174D"/>
    <w:rsid w:val="00F42A70"/>
    <w:rsid w:val="00F42E3C"/>
    <w:rsid w:val="00F43C25"/>
    <w:rsid w:val="00F43D56"/>
    <w:rsid w:val="00F45485"/>
    <w:rsid w:val="00F45A96"/>
    <w:rsid w:val="00F472CA"/>
    <w:rsid w:val="00F5260B"/>
    <w:rsid w:val="00F52E42"/>
    <w:rsid w:val="00F52FCD"/>
    <w:rsid w:val="00F566B2"/>
    <w:rsid w:val="00F57AA4"/>
    <w:rsid w:val="00F64320"/>
    <w:rsid w:val="00F6441B"/>
    <w:rsid w:val="00F64BAE"/>
    <w:rsid w:val="00F6614A"/>
    <w:rsid w:val="00F67EC8"/>
    <w:rsid w:val="00F7153C"/>
    <w:rsid w:val="00F7173B"/>
    <w:rsid w:val="00F7231C"/>
    <w:rsid w:val="00F7489A"/>
    <w:rsid w:val="00F75972"/>
    <w:rsid w:val="00F75BE8"/>
    <w:rsid w:val="00F76107"/>
    <w:rsid w:val="00F77633"/>
    <w:rsid w:val="00F77BC4"/>
    <w:rsid w:val="00F81226"/>
    <w:rsid w:val="00F87D1D"/>
    <w:rsid w:val="00F91729"/>
    <w:rsid w:val="00F925B2"/>
    <w:rsid w:val="00F93299"/>
    <w:rsid w:val="00F93A2C"/>
    <w:rsid w:val="00F93F29"/>
    <w:rsid w:val="00FA0ED6"/>
    <w:rsid w:val="00FA1C52"/>
    <w:rsid w:val="00FA2BB3"/>
    <w:rsid w:val="00FA7697"/>
    <w:rsid w:val="00FB42B3"/>
    <w:rsid w:val="00FB5BEB"/>
    <w:rsid w:val="00FB6964"/>
    <w:rsid w:val="00FB6CE2"/>
    <w:rsid w:val="00FC231B"/>
    <w:rsid w:val="00FC3688"/>
    <w:rsid w:val="00FC38D3"/>
    <w:rsid w:val="00FC4398"/>
    <w:rsid w:val="00FC454E"/>
    <w:rsid w:val="00FC6B71"/>
    <w:rsid w:val="00FD1F5F"/>
    <w:rsid w:val="00FD3414"/>
    <w:rsid w:val="00FD4BCC"/>
    <w:rsid w:val="00FE40E4"/>
    <w:rsid w:val="00FE73A7"/>
    <w:rsid w:val="00FF301C"/>
    <w:rsid w:val="00FF3A09"/>
    <w:rsid w:val="00FF410B"/>
    <w:rsid w:val="00FF4579"/>
    <w:rsid w:val="00FF59DD"/>
    <w:rsid w:val="010676FA"/>
    <w:rsid w:val="01097A0F"/>
    <w:rsid w:val="010C1510"/>
    <w:rsid w:val="010D0289"/>
    <w:rsid w:val="0129738F"/>
    <w:rsid w:val="0130307C"/>
    <w:rsid w:val="0146304A"/>
    <w:rsid w:val="015078F3"/>
    <w:rsid w:val="0155496F"/>
    <w:rsid w:val="01582705"/>
    <w:rsid w:val="01597F9B"/>
    <w:rsid w:val="01627A0A"/>
    <w:rsid w:val="016B7261"/>
    <w:rsid w:val="01776202"/>
    <w:rsid w:val="01791478"/>
    <w:rsid w:val="01826A17"/>
    <w:rsid w:val="01827A60"/>
    <w:rsid w:val="01886B3B"/>
    <w:rsid w:val="01895DD3"/>
    <w:rsid w:val="01902F2E"/>
    <w:rsid w:val="019919D5"/>
    <w:rsid w:val="01A32099"/>
    <w:rsid w:val="01AA0B43"/>
    <w:rsid w:val="01BB0080"/>
    <w:rsid w:val="01BB33FE"/>
    <w:rsid w:val="01C34467"/>
    <w:rsid w:val="01C73504"/>
    <w:rsid w:val="01E30A86"/>
    <w:rsid w:val="01EB3C6E"/>
    <w:rsid w:val="01F15B49"/>
    <w:rsid w:val="01F17B38"/>
    <w:rsid w:val="01F43CAA"/>
    <w:rsid w:val="01F61A0E"/>
    <w:rsid w:val="02002335"/>
    <w:rsid w:val="02095674"/>
    <w:rsid w:val="020B5F3F"/>
    <w:rsid w:val="02100B87"/>
    <w:rsid w:val="02113666"/>
    <w:rsid w:val="021D04ED"/>
    <w:rsid w:val="02237C89"/>
    <w:rsid w:val="022456C7"/>
    <w:rsid w:val="02270222"/>
    <w:rsid w:val="0227194A"/>
    <w:rsid w:val="022E599A"/>
    <w:rsid w:val="023A321A"/>
    <w:rsid w:val="023D1BF0"/>
    <w:rsid w:val="024B4CE8"/>
    <w:rsid w:val="02585562"/>
    <w:rsid w:val="025944B0"/>
    <w:rsid w:val="0260531D"/>
    <w:rsid w:val="02611648"/>
    <w:rsid w:val="02721694"/>
    <w:rsid w:val="027A6269"/>
    <w:rsid w:val="028337A9"/>
    <w:rsid w:val="02922C5D"/>
    <w:rsid w:val="029C0398"/>
    <w:rsid w:val="029C556D"/>
    <w:rsid w:val="029E2106"/>
    <w:rsid w:val="029E6605"/>
    <w:rsid w:val="02AB7B67"/>
    <w:rsid w:val="02AB7E0E"/>
    <w:rsid w:val="02AF0FA8"/>
    <w:rsid w:val="02BB64C5"/>
    <w:rsid w:val="02BD1879"/>
    <w:rsid w:val="02BF37D6"/>
    <w:rsid w:val="02CE1690"/>
    <w:rsid w:val="02E07176"/>
    <w:rsid w:val="02E11D73"/>
    <w:rsid w:val="02E17CD2"/>
    <w:rsid w:val="02EB565A"/>
    <w:rsid w:val="02F31D01"/>
    <w:rsid w:val="02F90BA6"/>
    <w:rsid w:val="030459DA"/>
    <w:rsid w:val="03072918"/>
    <w:rsid w:val="032558AB"/>
    <w:rsid w:val="032C5B71"/>
    <w:rsid w:val="033044BD"/>
    <w:rsid w:val="0334480F"/>
    <w:rsid w:val="033A10E5"/>
    <w:rsid w:val="033C3D81"/>
    <w:rsid w:val="033E10BD"/>
    <w:rsid w:val="03465B2E"/>
    <w:rsid w:val="034B48CA"/>
    <w:rsid w:val="0353572C"/>
    <w:rsid w:val="03550F2E"/>
    <w:rsid w:val="036345E5"/>
    <w:rsid w:val="03677592"/>
    <w:rsid w:val="03725451"/>
    <w:rsid w:val="03736821"/>
    <w:rsid w:val="03743ECB"/>
    <w:rsid w:val="03787195"/>
    <w:rsid w:val="03877624"/>
    <w:rsid w:val="038D2A54"/>
    <w:rsid w:val="0392106A"/>
    <w:rsid w:val="03A74E29"/>
    <w:rsid w:val="03A8012F"/>
    <w:rsid w:val="03AC2DBF"/>
    <w:rsid w:val="03B6204D"/>
    <w:rsid w:val="03BB5E8F"/>
    <w:rsid w:val="03BD5B2D"/>
    <w:rsid w:val="03BE1EF1"/>
    <w:rsid w:val="03C04CE3"/>
    <w:rsid w:val="03C22A25"/>
    <w:rsid w:val="03C96791"/>
    <w:rsid w:val="03CD3113"/>
    <w:rsid w:val="03DE2D8B"/>
    <w:rsid w:val="03E32FC4"/>
    <w:rsid w:val="03E73921"/>
    <w:rsid w:val="03EF7AC7"/>
    <w:rsid w:val="03F82D14"/>
    <w:rsid w:val="03FE14F6"/>
    <w:rsid w:val="03FF186D"/>
    <w:rsid w:val="040D367A"/>
    <w:rsid w:val="040D7B66"/>
    <w:rsid w:val="040E5A6E"/>
    <w:rsid w:val="0428166D"/>
    <w:rsid w:val="043624FF"/>
    <w:rsid w:val="04425708"/>
    <w:rsid w:val="04432E03"/>
    <w:rsid w:val="0447569F"/>
    <w:rsid w:val="045967AF"/>
    <w:rsid w:val="045E1C2C"/>
    <w:rsid w:val="047107CE"/>
    <w:rsid w:val="04785429"/>
    <w:rsid w:val="04825367"/>
    <w:rsid w:val="048601F9"/>
    <w:rsid w:val="0487470D"/>
    <w:rsid w:val="048D5690"/>
    <w:rsid w:val="048F313A"/>
    <w:rsid w:val="0492272B"/>
    <w:rsid w:val="049674F1"/>
    <w:rsid w:val="049E04B0"/>
    <w:rsid w:val="04BB74AC"/>
    <w:rsid w:val="04C41342"/>
    <w:rsid w:val="04CF6B1C"/>
    <w:rsid w:val="04D37D12"/>
    <w:rsid w:val="04DC7910"/>
    <w:rsid w:val="04E76358"/>
    <w:rsid w:val="050121D2"/>
    <w:rsid w:val="0506748D"/>
    <w:rsid w:val="05151DB2"/>
    <w:rsid w:val="052041D1"/>
    <w:rsid w:val="05291638"/>
    <w:rsid w:val="0529501F"/>
    <w:rsid w:val="053A3467"/>
    <w:rsid w:val="053F31BB"/>
    <w:rsid w:val="054357F3"/>
    <w:rsid w:val="05452B4A"/>
    <w:rsid w:val="05472ED4"/>
    <w:rsid w:val="054829D4"/>
    <w:rsid w:val="05497CDC"/>
    <w:rsid w:val="054B12FA"/>
    <w:rsid w:val="054E590E"/>
    <w:rsid w:val="055A2D11"/>
    <w:rsid w:val="055B0112"/>
    <w:rsid w:val="05801911"/>
    <w:rsid w:val="0581190D"/>
    <w:rsid w:val="05825CFC"/>
    <w:rsid w:val="058724F5"/>
    <w:rsid w:val="05886B8C"/>
    <w:rsid w:val="058C461B"/>
    <w:rsid w:val="058E74D5"/>
    <w:rsid w:val="05912218"/>
    <w:rsid w:val="059A5EC0"/>
    <w:rsid w:val="05A5095F"/>
    <w:rsid w:val="05A64AB5"/>
    <w:rsid w:val="05BC09B3"/>
    <w:rsid w:val="05C960F8"/>
    <w:rsid w:val="05CD2DCA"/>
    <w:rsid w:val="05CF4876"/>
    <w:rsid w:val="05DE1BE9"/>
    <w:rsid w:val="05DE61E6"/>
    <w:rsid w:val="06021B92"/>
    <w:rsid w:val="06073A39"/>
    <w:rsid w:val="0611216C"/>
    <w:rsid w:val="06152420"/>
    <w:rsid w:val="061F2A86"/>
    <w:rsid w:val="061F7EDB"/>
    <w:rsid w:val="0620690E"/>
    <w:rsid w:val="06257AA9"/>
    <w:rsid w:val="06261296"/>
    <w:rsid w:val="062E0BBB"/>
    <w:rsid w:val="0630713F"/>
    <w:rsid w:val="06310624"/>
    <w:rsid w:val="06367F1F"/>
    <w:rsid w:val="063D2F0C"/>
    <w:rsid w:val="063D4854"/>
    <w:rsid w:val="064537C8"/>
    <w:rsid w:val="0646390A"/>
    <w:rsid w:val="064B46EE"/>
    <w:rsid w:val="0652487D"/>
    <w:rsid w:val="06542159"/>
    <w:rsid w:val="06546274"/>
    <w:rsid w:val="06550134"/>
    <w:rsid w:val="065C31B0"/>
    <w:rsid w:val="06882764"/>
    <w:rsid w:val="069634BF"/>
    <w:rsid w:val="06994ABB"/>
    <w:rsid w:val="069A7822"/>
    <w:rsid w:val="069F522F"/>
    <w:rsid w:val="06A83A1E"/>
    <w:rsid w:val="06A83B04"/>
    <w:rsid w:val="06BE721B"/>
    <w:rsid w:val="06BF3BF6"/>
    <w:rsid w:val="06C56D91"/>
    <w:rsid w:val="06C6796F"/>
    <w:rsid w:val="06CC7228"/>
    <w:rsid w:val="06CF29E3"/>
    <w:rsid w:val="06D6475F"/>
    <w:rsid w:val="06D87128"/>
    <w:rsid w:val="06DA39EB"/>
    <w:rsid w:val="06E90BE1"/>
    <w:rsid w:val="06FD5692"/>
    <w:rsid w:val="06FE55E6"/>
    <w:rsid w:val="070057D0"/>
    <w:rsid w:val="070111DE"/>
    <w:rsid w:val="070A564C"/>
    <w:rsid w:val="0711426C"/>
    <w:rsid w:val="071862E7"/>
    <w:rsid w:val="071E3B61"/>
    <w:rsid w:val="071F501D"/>
    <w:rsid w:val="072E25D4"/>
    <w:rsid w:val="07357E92"/>
    <w:rsid w:val="074D5A68"/>
    <w:rsid w:val="074E4C7C"/>
    <w:rsid w:val="075654AB"/>
    <w:rsid w:val="075D2843"/>
    <w:rsid w:val="07636809"/>
    <w:rsid w:val="07701C2D"/>
    <w:rsid w:val="07704FE4"/>
    <w:rsid w:val="077566D6"/>
    <w:rsid w:val="07762EA7"/>
    <w:rsid w:val="07770A95"/>
    <w:rsid w:val="077734BC"/>
    <w:rsid w:val="07875002"/>
    <w:rsid w:val="079514A3"/>
    <w:rsid w:val="07977B22"/>
    <w:rsid w:val="079B35D3"/>
    <w:rsid w:val="079E0AF3"/>
    <w:rsid w:val="07A8378D"/>
    <w:rsid w:val="07B52056"/>
    <w:rsid w:val="07B548FC"/>
    <w:rsid w:val="07BD7D08"/>
    <w:rsid w:val="07CD64D2"/>
    <w:rsid w:val="07D040E9"/>
    <w:rsid w:val="07D85ABE"/>
    <w:rsid w:val="07E475B3"/>
    <w:rsid w:val="07E52942"/>
    <w:rsid w:val="07ED6D6A"/>
    <w:rsid w:val="07FD0148"/>
    <w:rsid w:val="07FFE9C5"/>
    <w:rsid w:val="080F438D"/>
    <w:rsid w:val="0813107C"/>
    <w:rsid w:val="08185023"/>
    <w:rsid w:val="081A3598"/>
    <w:rsid w:val="081F5B57"/>
    <w:rsid w:val="08283BA1"/>
    <w:rsid w:val="082B4E69"/>
    <w:rsid w:val="082C1418"/>
    <w:rsid w:val="082C2DA2"/>
    <w:rsid w:val="082E4082"/>
    <w:rsid w:val="082E567E"/>
    <w:rsid w:val="082F5F35"/>
    <w:rsid w:val="08307A69"/>
    <w:rsid w:val="083B1791"/>
    <w:rsid w:val="08404723"/>
    <w:rsid w:val="08422FA0"/>
    <w:rsid w:val="08440DE9"/>
    <w:rsid w:val="084E2716"/>
    <w:rsid w:val="085130B2"/>
    <w:rsid w:val="085629BD"/>
    <w:rsid w:val="08627EBB"/>
    <w:rsid w:val="086E4A64"/>
    <w:rsid w:val="087414F2"/>
    <w:rsid w:val="08745247"/>
    <w:rsid w:val="087C0ABC"/>
    <w:rsid w:val="087F5B8B"/>
    <w:rsid w:val="0886694F"/>
    <w:rsid w:val="08971302"/>
    <w:rsid w:val="089B574B"/>
    <w:rsid w:val="08AD67B3"/>
    <w:rsid w:val="08AE0BF8"/>
    <w:rsid w:val="08AF3731"/>
    <w:rsid w:val="08B239F2"/>
    <w:rsid w:val="08BB6737"/>
    <w:rsid w:val="08C279F3"/>
    <w:rsid w:val="08C70E18"/>
    <w:rsid w:val="08CC7846"/>
    <w:rsid w:val="08DC3E66"/>
    <w:rsid w:val="08E00D47"/>
    <w:rsid w:val="08EC0234"/>
    <w:rsid w:val="08F86537"/>
    <w:rsid w:val="08F87C4D"/>
    <w:rsid w:val="08FA7B4F"/>
    <w:rsid w:val="08FF5505"/>
    <w:rsid w:val="09013856"/>
    <w:rsid w:val="090D2EB1"/>
    <w:rsid w:val="090F493D"/>
    <w:rsid w:val="09131D8D"/>
    <w:rsid w:val="0917388D"/>
    <w:rsid w:val="092137DC"/>
    <w:rsid w:val="09290731"/>
    <w:rsid w:val="092A4ED9"/>
    <w:rsid w:val="092F30B2"/>
    <w:rsid w:val="09317749"/>
    <w:rsid w:val="093A5935"/>
    <w:rsid w:val="094A2DF8"/>
    <w:rsid w:val="094B58FC"/>
    <w:rsid w:val="094E6076"/>
    <w:rsid w:val="09507C2D"/>
    <w:rsid w:val="095263E9"/>
    <w:rsid w:val="09535A4F"/>
    <w:rsid w:val="0958366B"/>
    <w:rsid w:val="095F4C71"/>
    <w:rsid w:val="09675CE5"/>
    <w:rsid w:val="097145E0"/>
    <w:rsid w:val="09724DD0"/>
    <w:rsid w:val="09771918"/>
    <w:rsid w:val="097A3AD5"/>
    <w:rsid w:val="09907860"/>
    <w:rsid w:val="09A15406"/>
    <w:rsid w:val="09AA105E"/>
    <w:rsid w:val="09B9603D"/>
    <w:rsid w:val="09BF2569"/>
    <w:rsid w:val="09DA37E4"/>
    <w:rsid w:val="09E0077E"/>
    <w:rsid w:val="09E92406"/>
    <w:rsid w:val="09EE71EA"/>
    <w:rsid w:val="09F2227F"/>
    <w:rsid w:val="09F37967"/>
    <w:rsid w:val="09F8745C"/>
    <w:rsid w:val="09FE1B96"/>
    <w:rsid w:val="0A0B7A10"/>
    <w:rsid w:val="0A0E6C57"/>
    <w:rsid w:val="0A106DE5"/>
    <w:rsid w:val="0A12429D"/>
    <w:rsid w:val="0A160AEB"/>
    <w:rsid w:val="0A187F18"/>
    <w:rsid w:val="0A1A3B4F"/>
    <w:rsid w:val="0A1F52BE"/>
    <w:rsid w:val="0A210F51"/>
    <w:rsid w:val="0A220A5C"/>
    <w:rsid w:val="0A3A75AE"/>
    <w:rsid w:val="0A432216"/>
    <w:rsid w:val="0A516F08"/>
    <w:rsid w:val="0A5504A2"/>
    <w:rsid w:val="0A576A45"/>
    <w:rsid w:val="0A5A3518"/>
    <w:rsid w:val="0A6A7E0A"/>
    <w:rsid w:val="0A7B3B52"/>
    <w:rsid w:val="0A8132E9"/>
    <w:rsid w:val="0A821835"/>
    <w:rsid w:val="0A9449EA"/>
    <w:rsid w:val="0AA40C36"/>
    <w:rsid w:val="0AA81688"/>
    <w:rsid w:val="0AA960F5"/>
    <w:rsid w:val="0AB060A5"/>
    <w:rsid w:val="0ABF65E6"/>
    <w:rsid w:val="0AC347D4"/>
    <w:rsid w:val="0ACE664C"/>
    <w:rsid w:val="0ACF741D"/>
    <w:rsid w:val="0ADD4793"/>
    <w:rsid w:val="0ADF0A0C"/>
    <w:rsid w:val="0AE94594"/>
    <w:rsid w:val="0AE95411"/>
    <w:rsid w:val="0AEC45C0"/>
    <w:rsid w:val="0AEC6A5E"/>
    <w:rsid w:val="0AED0C95"/>
    <w:rsid w:val="0AF43043"/>
    <w:rsid w:val="0AF45BB3"/>
    <w:rsid w:val="0AF64030"/>
    <w:rsid w:val="0B0124E4"/>
    <w:rsid w:val="0B0B710A"/>
    <w:rsid w:val="0B133477"/>
    <w:rsid w:val="0B15704F"/>
    <w:rsid w:val="0B182C1D"/>
    <w:rsid w:val="0B187D41"/>
    <w:rsid w:val="0B19280C"/>
    <w:rsid w:val="0B1C77FA"/>
    <w:rsid w:val="0B1F79A2"/>
    <w:rsid w:val="0B2A7F12"/>
    <w:rsid w:val="0B570ABA"/>
    <w:rsid w:val="0B5C428B"/>
    <w:rsid w:val="0B675F2D"/>
    <w:rsid w:val="0B6F4774"/>
    <w:rsid w:val="0B72023B"/>
    <w:rsid w:val="0B887F86"/>
    <w:rsid w:val="0B95CBFD"/>
    <w:rsid w:val="0B9C1374"/>
    <w:rsid w:val="0B9C5810"/>
    <w:rsid w:val="0BAA7B19"/>
    <w:rsid w:val="0BBA3932"/>
    <w:rsid w:val="0BBE064B"/>
    <w:rsid w:val="0BC03A4D"/>
    <w:rsid w:val="0BD278EF"/>
    <w:rsid w:val="0BD330BA"/>
    <w:rsid w:val="0BDD5F62"/>
    <w:rsid w:val="0BDF060E"/>
    <w:rsid w:val="0BDF1C45"/>
    <w:rsid w:val="0BF027A8"/>
    <w:rsid w:val="0BF93047"/>
    <w:rsid w:val="0C0075F7"/>
    <w:rsid w:val="0C0235B1"/>
    <w:rsid w:val="0C0C66BF"/>
    <w:rsid w:val="0C0E3B69"/>
    <w:rsid w:val="0C1E08B4"/>
    <w:rsid w:val="0C282780"/>
    <w:rsid w:val="0C3926C5"/>
    <w:rsid w:val="0C4247EB"/>
    <w:rsid w:val="0C45047B"/>
    <w:rsid w:val="0C4F5747"/>
    <w:rsid w:val="0C540580"/>
    <w:rsid w:val="0C56596A"/>
    <w:rsid w:val="0C676F23"/>
    <w:rsid w:val="0C6D7C3B"/>
    <w:rsid w:val="0C755E65"/>
    <w:rsid w:val="0C7635BD"/>
    <w:rsid w:val="0C7A0D4C"/>
    <w:rsid w:val="0C800E01"/>
    <w:rsid w:val="0C871846"/>
    <w:rsid w:val="0CA817DC"/>
    <w:rsid w:val="0CA94E26"/>
    <w:rsid w:val="0CB473E1"/>
    <w:rsid w:val="0CC01DC3"/>
    <w:rsid w:val="0CDA635B"/>
    <w:rsid w:val="0CE44699"/>
    <w:rsid w:val="0CF4264D"/>
    <w:rsid w:val="0D004201"/>
    <w:rsid w:val="0D014CD9"/>
    <w:rsid w:val="0D044784"/>
    <w:rsid w:val="0D0900EA"/>
    <w:rsid w:val="0D1479EB"/>
    <w:rsid w:val="0D160D5F"/>
    <w:rsid w:val="0D2342C8"/>
    <w:rsid w:val="0D241DCE"/>
    <w:rsid w:val="0D247986"/>
    <w:rsid w:val="0D307E76"/>
    <w:rsid w:val="0D37385B"/>
    <w:rsid w:val="0D3B4D18"/>
    <w:rsid w:val="0D436135"/>
    <w:rsid w:val="0D45794C"/>
    <w:rsid w:val="0D4C6E1B"/>
    <w:rsid w:val="0D4D6427"/>
    <w:rsid w:val="0D4D672F"/>
    <w:rsid w:val="0D4F25FC"/>
    <w:rsid w:val="0D546CBD"/>
    <w:rsid w:val="0D5711E3"/>
    <w:rsid w:val="0D5B4996"/>
    <w:rsid w:val="0D7019E3"/>
    <w:rsid w:val="0D735A04"/>
    <w:rsid w:val="0D74033A"/>
    <w:rsid w:val="0D7B5DA9"/>
    <w:rsid w:val="0D807EBB"/>
    <w:rsid w:val="0D83355E"/>
    <w:rsid w:val="0D904A22"/>
    <w:rsid w:val="0D9921BC"/>
    <w:rsid w:val="0D9E490F"/>
    <w:rsid w:val="0DA1182C"/>
    <w:rsid w:val="0DA63A8D"/>
    <w:rsid w:val="0DA822E6"/>
    <w:rsid w:val="0DAA6CFB"/>
    <w:rsid w:val="0DAB109B"/>
    <w:rsid w:val="0DB12E18"/>
    <w:rsid w:val="0DB8669C"/>
    <w:rsid w:val="0DC4482C"/>
    <w:rsid w:val="0DC977C3"/>
    <w:rsid w:val="0DCA5CE5"/>
    <w:rsid w:val="0DCD2816"/>
    <w:rsid w:val="0DDE4290"/>
    <w:rsid w:val="0DE51F48"/>
    <w:rsid w:val="0DE545B5"/>
    <w:rsid w:val="0DEE1F74"/>
    <w:rsid w:val="0DEF1FA6"/>
    <w:rsid w:val="0DFA25B9"/>
    <w:rsid w:val="0DFD063C"/>
    <w:rsid w:val="0E0905B5"/>
    <w:rsid w:val="0E175F7E"/>
    <w:rsid w:val="0E1C0A47"/>
    <w:rsid w:val="0E1D7868"/>
    <w:rsid w:val="0E1E1647"/>
    <w:rsid w:val="0E1F258E"/>
    <w:rsid w:val="0E2E123F"/>
    <w:rsid w:val="0E3132AF"/>
    <w:rsid w:val="0E354811"/>
    <w:rsid w:val="0E386C12"/>
    <w:rsid w:val="0E39259C"/>
    <w:rsid w:val="0E4A1D5B"/>
    <w:rsid w:val="0E50119F"/>
    <w:rsid w:val="0E515980"/>
    <w:rsid w:val="0E593539"/>
    <w:rsid w:val="0E5C090C"/>
    <w:rsid w:val="0E5F5183"/>
    <w:rsid w:val="0E604FE5"/>
    <w:rsid w:val="0E61437C"/>
    <w:rsid w:val="0E651C47"/>
    <w:rsid w:val="0E7216EE"/>
    <w:rsid w:val="0E7E5C09"/>
    <w:rsid w:val="0E7F7D4B"/>
    <w:rsid w:val="0E84341F"/>
    <w:rsid w:val="0E895EE9"/>
    <w:rsid w:val="0E9167F5"/>
    <w:rsid w:val="0E917625"/>
    <w:rsid w:val="0E972D83"/>
    <w:rsid w:val="0EA33B28"/>
    <w:rsid w:val="0EA44176"/>
    <w:rsid w:val="0EA8192B"/>
    <w:rsid w:val="0EA97C69"/>
    <w:rsid w:val="0EB03959"/>
    <w:rsid w:val="0EB96171"/>
    <w:rsid w:val="0EC405A2"/>
    <w:rsid w:val="0EC465B3"/>
    <w:rsid w:val="0EC867E9"/>
    <w:rsid w:val="0ED57C05"/>
    <w:rsid w:val="0EE35D5B"/>
    <w:rsid w:val="0EEC26B4"/>
    <w:rsid w:val="0EF05AE1"/>
    <w:rsid w:val="0EF55480"/>
    <w:rsid w:val="0EFC1EBB"/>
    <w:rsid w:val="0F043034"/>
    <w:rsid w:val="0F10133D"/>
    <w:rsid w:val="0F1C0BE4"/>
    <w:rsid w:val="0F366217"/>
    <w:rsid w:val="0F383317"/>
    <w:rsid w:val="0F3E5A75"/>
    <w:rsid w:val="0F447F74"/>
    <w:rsid w:val="0F56195A"/>
    <w:rsid w:val="0F6619E8"/>
    <w:rsid w:val="0F6E4528"/>
    <w:rsid w:val="0F712D2B"/>
    <w:rsid w:val="0F783D92"/>
    <w:rsid w:val="0F847F73"/>
    <w:rsid w:val="0F874ACE"/>
    <w:rsid w:val="0F926BEB"/>
    <w:rsid w:val="0F927E88"/>
    <w:rsid w:val="0F991B1D"/>
    <w:rsid w:val="0F9F41D7"/>
    <w:rsid w:val="0FA17297"/>
    <w:rsid w:val="0FA568EF"/>
    <w:rsid w:val="0FA76EF6"/>
    <w:rsid w:val="0FB327C2"/>
    <w:rsid w:val="0FD767C2"/>
    <w:rsid w:val="0FDA023D"/>
    <w:rsid w:val="0FE201E1"/>
    <w:rsid w:val="0FE830F6"/>
    <w:rsid w:val="0FEF57A0"/>
    <w:rsid w:val="0FF329B4"/>
    <w:rsid w:val="0FFB045D"/>
    <w:rsid w:val="0FFC1990"/>
    <w:rsid w:val="100342C1"/>
    <w:rsid w:val="100D6087"/>
    <w:rsid w:val="10155D95"/>
    <w:rsid w:val="101874AC"/>
    <w:rsid w:val="10261A11"/>
    <w:rsid w:val="102C3308"/>
    <w:rsid w:val="103F2562"/>
    <w:rsid w:val="104060F2"/>
    <w:rsid w:val="10505EBD"/>
    <w:rsid w:val="10525D36"/>
    <w:rsid w:val="1059026D"/>
    <w:rsid w:val="10590356"/>
    <w:rsid w:val="1069518A"/>
    <w:rsid w:val="106A7D1D"/>
    <w:rsid w:val="107A5864"/>
    <w:rsid w:val="107D2EC4"/>
    <w:rsid w:val="107D3301"/>
    <w:rsid w:val="107F2D88"/>
    <w:rsid w:val="108A30A2"/>
    <w:rsid w:val="109B5B92"/>
    <w:rsid w:val="109E4592"/>
    <w:rsid w:val="10A073DB"/>
    <w:rsid w:val="10B20217"/>
    <w:rsid w:val="10B66F6B"/>
    <w:rsid w:val="10BE0D57"/>
    <w:rsid w:val="10C03C65"/>
    <w:rsid w:val="10C77B42"/>
    <w:rsid w:val="10CF2AC0"/>
    <w:rsid w:val="10D06D66"/>
    <w:rsid w:val="10DE2DAB"/>
    <w:rsid w:val="10E049E5"/>
    <w:rsid w:val="10E43C1A"/>
    <w:rsid w:val="10E626B3"/>
    <w:rsid w:val="10EB7D7E"/>
    <w:rsid w:val="10F95299"/>
    <w:rsid w:val="10FB363E"/>
    <w:rsid w:val="10FC02DC"/>
    <w:rsid w:val="110954A2"/>
    <w:rsid w:val="111651D6"/>
    <w:rsid w:val="11235CA4"/>
    <w:rsid w:val="11245EDC"/>
    <w:rsid w:val="11266BAE"/>
    <w:rsid w:val="11285DF6"/>
    <w:rsid w:val="113F1919"/>
    <w:rsid w:val="11496C09"/>
    <w:rsid w:val="114E2718"/>
    <w:rsid w:val="11525D30"/>
    <w:rsid w:val="116003F7"/>
    <w:rsid w:val="11622C04"/>
    <w:rsid w:val="116A383D"/>
    <w:rsid w:val="116F4196"/>
    <w:rsid w:val="11705FEC"/>
    <w:rsid w:val="119E5D52"/>
    <w:rsid w:val="11A30367"/>
    <w:rsid w:val="11BD5190"/>
    <w:rsid w:val="11CA5B8D"/>
    <w:rsid w:val="11D41723"/>
    <w:rsid w:val="11DA6DAB"/>
    <w:rsid w:val="11DB0BAA"/>
    <w:rsid w:val="11DE065C"/>
    <w:rsid w:val="11DE4095"/>
    <w:rsid w:val="11E16A04"/>
    <w:rsid w:val="11E17AC1"/>
    <w:rsid w:val="11EB0DB7"/>
    <w:rsid w:val="11F55D3B"/>
    <w:rsid w:val="120138FF"/>
    <w:rsid w:val="120B3D90"/>
    <w:rsid w:val="120D0A41"/>
    <w:rsid w:val="12124B7F"/>
    <w:rsid w:val="121A5CF8"/>
    <w:rsid w:val="121A5E96"/>
    <w:rsid w:val="121C1CDE"/>
    <w:rsid w:val="12263999"/>
    <w:rsid w:val="122B35EC"/>
    <w:rsid w:val="122C2540"/>
    <w:rsid w:val="1236103D"/>
    <w:rsid w:val="1239442B"/>
    <w:rsid w:val="12394F01"/>
    <w:rsid w:val="124670FF"/>
    <w:rsid w:val="124B191F"/>
    <w:rsid w:val="124E6612"/>
    <w:rsid w:val="125850FC"/>
    <w:rsid w:val="125D6751"/>
    <w:rsid w:val="126A7CD4"/>
    <w:rsid w:val="126E0D55"/>
    <w:rsid w:val="1276338E"/>
    <w:rsid w:val="12774C7C"/>
    <w:rsid w:val="127C4368"/>
    <w:rsid w:val="12846BB7"/>
    <w:rsid w:val="12862D00"/>
    <w:rsid w:val="128745B6"/>
    <w:rsid w:val="1288385B"/>
    <w:rsid w:val="1288689D"/>
    <w:rsid w:val="12895FEC"/>
    <w:rsid w:val="128B1578"/>
    <w:rsid w:val="12945CF6"/>
    <w:rsid w:val="129731E3"/>
    <w:rsid w:val="129C46D2"/>
    <w:rsid w:val="129D0EDF"/>
    <w:rsid w:val="12A94079"/>
    <w:rsid w:val="12AB34C5"/>
    <w:rsid w:val="12AC36F6"/>
    <w:rsid w:val="12B25C73"/>
    <w:rsid w:val="12B80B31"/>
    <w:rsid w:val="12C37594"/>
    <w:rsid w:val="12C81160"/>
    <w:rsid w:val="12C92FB5"/>
    <w:rsid w:val="12CC76A3"/>
    <w:rsid w:val="12D3445A"/>
    <w:rsid w:val="12D505BD"/>
    <w:rsid w:val="12D91725"/>
    <w:rsid w:val="12D96664"/>
    <w:rsid w:val="12E37399"/>
    <w:rsid w:val="12E741E3"/>
    <w:rsid w:val="12ED461A"/>
    <w:rsid w:val="12EE0120"/>
    <w:rsid w:val="131A6FFB"/>
    <w:rsid w:val="13256FAA"/>
    <w:rsid w:val="132D7167"/>
    <w:rsid w:val="132F1E2E"/>
    <w:rsid w:val="132F7A1E"/>
    <w:rsid w:val="13472B4B"/>
    <w:rsid w:val="13492311"/>
    <w:rsid w:val="134E6C5D"/>
    <w:rsid w:val="13626E95"/>
    <w:rsid w:val="136441CE"/>
    <w:rsid w:val="136E18F1"/>
    <w:rsid w:val="13762F04"/>
    <w:rsid w:val="138F4380"/>
    <w:rsid w:val="139C421F"/>
    <w:rsid w:val="139D567C"/>
    <w:rsid w:val="13AD3F71"/>
    <w:rsid w:val="13AE7D2D"/>
    <w:rsid w:val="13BD37B9"/>
    <w:rsid w:val="13C122B1"/>
    <w:rsid w:val="13C55EA3"/>
    <w:rsid w:val="13C744FB"/>
    <w:rsid w:val="13D11DEF"/>
    <w:rsid w:val="13D67559"/>
    <w:rsid w:val="13E00F3D"/>
    <w:rsid w:val="13E16017"/>
    <w:rsid w:val="13F95A53"/>
    <w:rsid w:val="140C067D"/>
    <w:rsid w:val="140D1987"/>
    <w:rsid w:val="140F7704"/>
    <w:rsid w:val="141F424D"/>
    <w:rsid w:val="142912E4"/>
    <w:rsid w:val="142B74CB"/>
    <w:rsid w:val="1432362D"/>
    <w:rsid w:val="1438481B"/>
    <w:rsid w:val="14401698"/>
    <w:rsid w:val="1441649F"/>
    <w:rsid w:val="14466877"/>
    <w:rsid w:val="144E0EE0"/>
    <w:rsid w:val="144E7FE3"/>
    <w:rsid w:val="145055BA"/>
    <w:rsid w:val="145C2778"/>
    <w:rsid w:val="146026B3"/>
    <w:rsid w:val="14706C74"/>
    <w:rsid w:val="14776B00"/>
    <w:rsid w:val="147C419B"/>
    <w:rsid w:val="14897BB4"/>
    <w:rsid w:val="1491355C"/>
    <w:rsid w:val="14996476"/>
    <w:rsid w:val="14A2390C"/>
    <w:rsid w:val="14A248D5"/>
    <w:rsid w:val="14B04AE5"/>
    <w:rsid w:val="14CA1089"/>
    <w:rsid w:val="14CE7313"/>
    <w:rsid w:val="14D32617"/>
    <w:rsid w:val="14DE0CAA"/>
    <w:rsid w:val="14DE4024"/>
    <w:rsid w:val="14DF40A9"/>
    <w:rsid w:val="14E7216B"/>
    <w:rsid w:val="14E75356"/>
    <w:rsid w:val="14EE0C08"/>
    <w:rsid w:val="14EF6F7E"/>
    <w:rsid w:val="14F41582"/>
    <w:rsid w:val="14F5288F"/>
    <w:rsid w:val="14F80436"/>
    <w:rsid w:val="150528B4"/>
    <w:rsid w:val="150A1DBD"/>
    <w:rsid w:val="151E19E1"/>
    <w:rsid w:val="15207A74"/>
    <w:rsid w:val="15250736"/>
    <w:rsid w:val="15290D85"/>
    <w:rsid w:val="152924D6"/>
    <w:rsid w:val="15334618"/>
    <w:rsid w:val="15397763"/>
    <w:rsid w:val="153C21D4"/>
    <w:rsid w:val="153D0687"/>
    <w:rsid w:val="153D46F4"/>
    <w:rsid w:val="15487EDA"/>
    <w:rsid w:val="154C7399"/>
    <w:rsid w:val="155727D2"/>
    <w:rsid w:val="155843EB"/>
    <w:rsid w:val="155B6DF4"/>
    <w:rsid w:val="15665E36"/>
    <w:rsid w:val="15757B30"/>
    <w:rsid w:val="15777234"/>
    <w:rsid w:val="1579492A"/>
    <w:rsid w:val="157E65EE"/>
    <w:rsid w:val="15847129"/>
    <w:rsid w:val="15892C78"/>
    <w:rsid w:val="158A0181"/>
    <w:rsid w:val="158B60CA"/>
    <w:rsid w:val="15914770"/>
    <w:rsid w:val="15973A14"/>
    <w:rsid w:val="15A07806"/>
    <w:rsid w:val="15BF67D9"/>
    <w:rsid w:val="15C74B60"/>
    <w:rsid w:val="15CE1778"/>
    <w:rsid w:val="15CF7A6D"/>
    <w:rsid w:val="15DE18EA"/>
    <w:rsid w:val="15E92CE4"/>
    <w:rsid w:val="15E955EB"/>
    <w:rsid w:val="15F1238C"/>
    <w:rsid w:val="15F27CA7"/>
    <w:rsid w:val="15F62FF3"/>
    <w:rsid w:val="15F73728"/>
    <w:rsid w:val="15FC2F96"/>
    <w:rsid w:val="160B7887"/>
    <w:rsid w:val="16111C81"/>
    <w:rsid w:val="16161084"/>
    <w:rsid w:val="161F17C3"/>
    <w:rsid w:val="162164F7"/>
    <w:rsid w:val="162F1AA6"/>
    <w:rsid w:val="16356439"/>
    <w:rsid w:val="16363BF5"/>
    <w:rsid w:val="163D50E0"/>
    <w:rsid w:val="164126AE"/>
    <w:rsid w:val="164662CC"/>
    <w:rsid w:val="164B6D79"/>
    <w:rsid w:val="1650743F"/>
    <w:rsid w:val="165B1E54"/>
    <w:rsid w:val="165D0E12"/>
    <w:rsid w:val="16653E64"/>
    <w:rsid w:val="166B438B"/>
    <w:rsid w:val="166C54AF"/>
    <w:rsid w:val="166C765C"/>
    <w:rsid w:val="167F1F47"/>
    <w:rsid w:val="16894FFF"/>
    <w:rsid w:val="16936750"/>
    <w:rsid w:val="16950BB5"/>
    <w:rsid w:val="16A30C09"/>
    <w:rsid w:val="16A425C7"/>
    <w:rsid w:val="16A50326"/>
    <w:rsid w:val="16A65DD0"/>
    <w:rsid w:val="16A724A0"/>
    <w:rsid w:val="16AC4D27"/>
    <w:rsid w:val="16B75B7B"/>
    <w:rsid w:val="16BC2386"/>
    <w:rsid w:val="16BD2089"/>
    <w:rsid w:val="16C0584F"/>
    <w:rsid w:val="16CC1450"/>
    <w:rsid w:val="16D266FF"/>
    <w:rsid w:val="16E37AAE"/>
    <w:rsid w:val="16F20C84"/>
    <w:rsid w:val="16F34247"/>
    <w:rsid w:val="16F84F1C"/>
    <w:rsid w:val="16FB7F12"/>
    <w:rsid w:val="17045380"/>
    <w:rsid w:val="170B122B"/>
    <w:rsid w:val="170E505D"/>
    <w:rsid w:val="17266D6A"/>
    <w:rsid w:val="172B05B4"/>
    <w:rsid w:val="172B32D9"/>
    <w:rsid w:val="17315DDC"/>
    <w:rsid w:val="17324144"/>
    <w:rsid w:val="17395043"/>
    <w:rsid w:val="173A57FF"/>
    <w:rsid w:val="17491733"/>
    <w:rsid w:val="17503222"/>
    <w:rsid w:val="17547BB0"/>
    <w:rsid w:val="17634447"/>
    <w:rsid w:val="17654769"/>
    <w:rsid w:val="176A0D7B"/>
    <w:rsid w:val="176A49FB"/>
    <w:rsid w:val="176A5F80"/>
    <w:rsid w:val="17704153"/>
    <w:rsid w:val="177B182D"/>
    <w:rsid w:val="177E45CE"/>
    <w:rsid w:val="177E5C97"/>
    <w:rsid w:val="17805365"/>
    <w:rsid w:val="17855795"/>
    <w:rsid w:val="17870E4B"/>
    <w:rsid w:val="1789419F"/>
    <w:rsid w:val="17897FE7"/>
    <w:rsid w:val="1793788D"/>
    <w:rsid w:val="17A74970"/>
    <w:rsid w:val="17AB6499"/>
    <w:rsid w:val="17AC757B"/>
    <w:rsid w:val="17B56F68"/>
    <w:rsid w:val="17BC7083"/>
    <w:rsid w:val="17BE7283"/>
    <w:rsid w:val="17C05FAF"/>
    <w:rsid w:val="17C175B1"/>
    <w:rsid w:val="17C7725D"/>
    <w:rsid w:val="17CE1ACB"/>
    <w:rsid w:val="17CE2981"/>
    <w:rsid w:val="17D23072"/>
    <w:rsid w:val="17DD11EB"/>
    <w:rsid w:val="17DD1E5D"/>
    <w:rsid w:val="17E060B8"/>
    <w:rsid w:val="17EB0643"/>
    <w:rsid w:val="17ED79EC"/>
    <w:rsid w:val="17FE2953"/>
    <w:rsid w:val="17FF5BA0"/>
    <w:rsid w:val="1826099C"/>
    <w:rsid w:val="183D474F"/>
    <w:rsid w:val="1840250F"/>
    <w:rsid w:val="18421113"/>
    <w:rsid w:val="18433D22"/>
    <w:rsid w:val="184818DE"/>
    <w:rsid w:val="184C5231"/>
    <w:rsid w:val="185B607B"/>
    <w:rsid w:val="185C1662"/>
    <w:rsid w:val="185F22A6"/>
    <w:rsid w:val="186F6EDF"/>
    <w:rsid w:val="18715AB4"/>
    <w:rsid w:val="1873128F"/>
    <w:rsid w:val="18760E20"/>
    <w:rsid w:val="18761F79"/>
    <w:rsid w:val="18796582"/>
    <w:rsid w:val="187D1466"/>
    <w:rsid w:val="18876001"/>
    <w:rsid w:val="18884C04"/>
    <w:rsid w:val="18931FC6"/>
    <w:rsid w:val="189C610D"/>
    <w:rsid w:val="18A21D87"/>
    <w:rsid w:val="18A5502F"/>
    <w:rsid w:val="18A579FC"/>
    <w:rsid w:val="18A94E95"/>
    <w:rsid w:val="18B6016F"/>
    <w:rsid w:val="18BE3060"/>
    <w:rsid w:val="18C1420C"/>
    <w:rsid w:val="18D8279E"/>
    <w:rsid w:val="18D96E81"/>
    <w:rsid w:val="18DF74B5"/>
    <w:rsid w:val="18E14451"/>
    <w:rsid w:val="18E1720B"/>
    <w:rsid w:val="18F01982"/>
    <w:rsid w:val="18F549FD"/>
    <w:rsid w:val="18F5569A"/>
    <w:rsid w:val="19027481"/>
    <w:rsid w:val="19027AB6"/>
    <w:rsid w:val="190C5EEA"/>
    <w:rsid w:val="1910648C"/>
    <w:rsid w:val="1912647A"/>
    <w:rsid w:val="19153F21"/>
    <w:rsid w:val="19184292"/>
    <w:rsid w:val="19293637"/>
    <w:rsid w:val="192B25A2"/>
    <w:rsid w:val="192C5B51"/>
    <w:rsid w:val="192E4E4F"/>
    <w:rsid w:val="193556C9"/>
    <w:rsid w:val="193769F9"/>
    <w:rsid w:val="19426526"/>
    <w:rsid w:val="19480947"/>
    <w:rsid w:val="195E0003"/>
    <w:rsid w:val="196F5CDF"/>
    <w:rsid w:val="197257C6"/>
    <w:rsid w:val="1975401D"/>
    <w:rsid w:val="19767120"/>
    <w:rsid w:val="1980218E"/>
    <w:rsid w:val="19814EDD"/>
    <w:rsid w:val="19844139"/>
    <w:rsid w:val="198A0015"/>
    <w:rsid w:val="198B52D6"/>
    <w:rsid w:val="198C1284"/>
    <w:rsid w:val="199E010D"/>
    <w:rsid w:val="19AE671E"/>
    <w:rsid w:val="19BC752F"/>
    <w:rsid w:val="19D02C14"/>
    <w:rsid w:val="19D4356B"/>
    <w:rsid w:val="19E052C4"/>
    <w:rsid w:val="19E12E96"/>
    <w:rsid w:val="19E9198A"/>
    <w:rsid w:val="19E95E99"/>
    <w:rsid w:val="19F26256"/>
    <w:rsid w:val="19F57206"/>
    <w:rsid w:val="19FD2C93"/>
    <w:rsid w:val="1A0427DC"/>
    <w:rsid w:val="1A044967"/>
    <w:rsid w:val="1A0A7D1E"/>
    <w:rsid w:val="1A136006"/>
    <w:rsid w:val="1A142E6A"/>
    <w:rsid w:val="1A2C475E"/>
    <w:rsid w:val="1A2F7C54"/>
    <w:rsid w:val="1A3146DE"/>
    <w:rsid w:val="1A3866C9"/>
    <w:rsid w:val="1A4C76B3"/>
    <w:rsid w:val="1A534654"/>
    <w:rsid w:val="1A5E6459"/>
    <w:rsid w:val="1A61590C"/>
    <w:rsid w:val="1A656D05"/>
    <w:rsid w:val="1A7E34FE"/>
    <w:rsid w:val="1A8F356C"/>
    <w:rsid w:val="1A9601E7"/>
    <w:rsid w:val="1A962425"/>
    <w:rsid w:val="1A9C1D8B"/>
    <w:rsid w:val="1AAD2F01"/>
    <w:rsid w:val="1AB1585F"/>
    <w:rsid w:val="1ABE71F1"/>
    <w:rsid w:val="1AC02ED4"/>
    <w:rsid w:val="1AC677E1"/>
    <w:rsid w:val="1ACE3D53"/>
    <w:rsid w:val="1AD526BE"/>
    <w:rsid w:val="1AE05432"/>
    <w:rsid w:val="1AE370BA"/>
    <w:rsid w:val="1AE93DC9"/>
    <w:rsid w:val="1AEB54E8"/>
    <w:rsid w:val="1AFB3F8B"/>
    <w:rsid w:val="1B076443"/>
    <w:rsid w:val="1B1373D6"/>
    <w:rsid w:val="1B165D95"/>
    <w:rsid w:val="1B177FFD"/>
    <w:rsid w:val="1B1B7F71"/>
    <w:rsid w:val="1B1D6250"/>
    <w:rsid w:val="1B215BA7"/>
    <w:rsid w:val="1B2C201C"/>
    <w:rsid w:val="1B373F76"/>
    <w:rsid w:val="1B414DF5"/>
    <w:rsid w:val="1B486F86"/>
    <w:rsid w:val="1B4C2E61"/>
    <w:rsid w:val="1B564F6C"/>
    <w:rsid w:val="1B5A7C65"/>
    <w:rsid w:val="1B6037E3"/>
    <w:rsid w:val="1B635748"/>
    <w:rsid w:val="1B6D5106"/>
    <w:rsid w:val="1B7F133C"/>
    <w:rsid w:val="1B7F8F96"/>
    <w:rsid w:val="1B8250EA"/>
    <w:rsid w:val="1B855501"/>
    <w:rsid w:val="1B9265D1"/>
    <w:rsid w:val="1B9E5001"/>
    <w:rsid w:val="1BA02F62"/>
    <w:rsid w:val="1BA317CC"/>
    <w:rsid w:val="1BAA221A"/>
    <w:rsid w:val="1BAF2987"/>
    <w:rsid w:val="1BB23D10"/>
    <w:rsid w:val="1BB74530"/>
    <w:rsid w:val="1BB8642E"/>
    <w:rsid w:val="1BBBB41D"/>
    <w:rsid w:val="1BC1042B"/>
    <w:rsid w:val="1BC21895"/>
    <w:rsid w:val="1BC6289A"/>
    <w:rsid w:val="1BC71945"/>
    <w:rsid w:val="1BC8213E"/>
    <w:rsid w:val="1BD6094D"/>
    <w:rsid w:val="1BDD0BF2"/>
    <w:rsid w:val="1BEE25D5"/>
    <w:rsid w:val="1BF00A62"/>
    <w:rsid w:val="1BFC2E53"/>
    <w:rsid w:val="1BFC584C"/>
    <w:rsid w:val="1C002A4F"/>
    <w:rsid w:val="1C21012C"/>
    <w:rsid w:val="1C285260"/>
    <w:rsid w:val="1C317630"/>
    <w:rsid w:val="1C4213ED"/>
    <w:rsid w:val="1C4867F1"/>
    <w:rsid w:val="1C4D36DD"/>
    <w:rsid w:val="1C4F33D2"/>
    <w:rsid w:val="1C534928"/>
    <w:rsid w:val="1C547CE1"/>
    <w:rsid w:val="1C59110A"/>
    <w:rsid w:val="1C5C38B0"/>
    <w:rsid w:val="1C6D3657"/>
    <w:rsid w:val="1C736E16"/>
    <w:rsid w:val="1C7D3C0B"/>
    <w:rsid w:val="1C7F7084"/>
    <w:rsid w:val="1C9014B7"/>
    <w:rsid w:val="1C961403"/>
    <w:rsid w:val="1C986992"/>
    <w:rsid w:val="1C9E1BE4"/>
    <w:rsid w:val="1CB9272A"/>
    <w:rsid w:val="1CBB557E"/>
    <w:rsid w:val="1CBE196A"/>
    <w:rsid w:val="1CC8734E"/>
    <w:rsid w:val="1CCA3257"/>
    <w:rsid w:val="1CCD03BD"/>
    <w:rsid w:val="1CD1502E"/>
    <w:rsid w:val="1CD57ED7"/>
    <w:rsid w:val="1CD62D74"/>
    <w:rsid w:val="1CD66C5E"/>
    <w:rsid w:val="1CDA23B3"/>
    <w:rsid w:val="1CEF4CFC"/>
    <w:rsid w:val="1CF35BA1"/>
    <w:rsid w:val="1CFF1BD4"/>
    <w:rsid w:val="1D04432C"/>
    <w:rsid w:val="1D0D0C33"/>
    <w:rsid w:val="1D1D25DE"/>
    <w:rsid w:val="1D205BE9"/>
    <w:rsid w:val="1D257CAD"/>
    <w:rsid w:val="1D260E09"/>
    <w:rsid w:val="1D3806CA"/>
    <w:rsid w:val="1D396B63"/>
    <w:rsid w:val="1D3F2D30"/>
    <w:rsid w:val="1D4320B4"/>
    <w:rsid w:val="1D5D21B2"/>
    <w:rsid w:val="1D5E6E95"/>
    <w:rsid w:val="1D641E55"/>
    <w:rsid w:val="1D6448BD"/>
    <w:rsid w:val="1D680953"/>
    <w:rsid w:val="1D693BB5"/>
    <w:rsid w:val="1D6A44EC"/>
    <w:rsid w:val="1D6B6506"/>
    <w:rsid w:val="1D755CFF"/>
    <w:rsid w:val="1D775613"/>
    <w:rsid w:val="1D781A01"/>
    <w:rsid w:val="1D7B4C88"/>
    <w:rsid w:val="1D923B86"/>
    <w:rsid w:val="1D9E5370"/>
    <w:rsid w:val="1DA143CB"/>
    <w:rsid w:val="1DA30E5F"/>
    <w:rsid w:val="1DA868A6"/>
    <w:rsid w:val="1DA91772"/>
    <w:rsid w:val="1DAE2A57"/>
    <w:rsid w:val="1DB27E1D"/>
    <w:rsid w:val="1DBA5C20"/>
    <w:rsid w:val="1DC9390A"/>
    <w:rsid w:val="1DCA7323"/>
    <w:rsid w:val="1DD118B8"/>
    <w:rsid w:val="1DD571E2"/>
    <w:rsid w:val="1DE07BB5"/>
    <w:rsid w:val="1DE20577"/>
    <w:rsid w:val="1DE74B45"/>
    <w:rsid w:val="1DEE2E9B"/>
    <w:rsid w:val="1DF032FD"/>
    <w:rsid w:val="1DFE370B"/>
    <w:rsid w:val="1DFE3A7D"/>
    <w:rsid w:val="1E0343F3"/>
    <w:rsid w:val="1E073A99"/>
    <w:rsid w:val="1E0A2312"/>
    <w:rsid w:val="1E0C18DB"/>
    <w:rsid w:val="1E0D7462"/>
    <w:rsid w:val="1E0E6290"/>
    <w:rsid w:val="1E162FE9"/>
    <w:rsid w:val="1E217A8F"/>
    <w:rsid w:val="1E240D5B"/>
    <w:rsid w:val="1E246793"/>
    <w:rsid w:val="1E2B2CFB"/>
    <w:rsid w:val="1E334EC9"/>
    <w:rsid w:val="1E4522A3"/>
    <w:rsid w:val="1E4F524A"/>
    <w:rsid w:val="1E5F3F95"/>
    <w:rsid w:val="1E691030"/>
    <w:rsid w:val="1E756A85"/>
    <w:rsid w:val="1E88780A"/>
    <w:rsid w:val="1E8A6EAE"/>
    <w:rsid w:val="1E8C45D9"/>
    <w:rsid w:val="1E8D6B0D"/>
    <w:rsid w:val="1E935159"/>
    <w:rsid w:val="1E98635E"/>
    <w:rsid w:val="1E9E2702"/>
    <w:rsid w:val="1EA5175A"/>
    <w:rsid w:val="1EA72BF8"/>
    <w:rsid w:val="1EAE57A1"/>
    <w:rsid w:val="1EC34856"/>
    <w:rsid w:val="1EC417CC"/>
    <w:rsid w:val="1EC45334"/>
    <w:rsid w:val="1ECB23A6"/>
    <w:rsid w:val="1ECF17C4"/>
    <w:rsid w:val="1ED22180"/>
    <w:rsid w:val="1ED71B1A"/>
    <w:rsid w:val="1EDBC243"/>
    <w:rsid w:val="1EE25B85"/>
    <w:rsid w:val="1EE62312"/>
    <w:rsid w:val="1EE785CC"/>
    <w:rsid w:val="1EF24B7E"/>
    <w:rsid w:val="1EF65D88"/>
    <w:rsid w:val="1F0B49B0"/>
    <w:rsid w:val="1F184E6C"/>
    <w:rsid w:val="1F24162E"/>
    <w:rsid w:val="1F4325D2"/>
    <w:rsid w:val="1F442E5A"/>
    <w:rsid w:val="1F4626DB"/>
    <w:rsid w:val="1F5007E0"/>
    <w:rsid w:val="1F544185"/>
    <w:rsid w:val="1F5E3886"/>
    <w:rsid w:val="1F5F4A43"/>
    <w:rsid w:val="1F632636"/>
    <w:rsid w:val="1F63273A"/>
    <w:rsid w:val="1F64220E"/>
    <w:rsid w:val="1F67AFC5"/>
    <w:rsid w:val="1F68066B"/>
    <w:rsid w:val="1F6B1C28"/>
    <w:rsid w:val="1F6E79DA"/>
    <w:rsid w:val="1F721680"/>
    <w:rsid w:val="1F7B2341"/>
    <w:rsid w:val="1F9E70E2"/>
    <w:rsid w:val="1FA05C03"/>
    <w:rsid w:val="1FA315B0"/>
    <w:rsid w:val="1FA62E6A"/>
    <w:rsid w:val="1FA639A7"/>
    <w:rsid w:val="1FB52522"/>
    <w:rsid w:val="1FB76705"/>
    <w:rsid w:val="1FBB188B"/>
    <w:rsid w:val="1FBE6D72"/>
    <w:rsid w:val="1FC340AC"/>
    <w:rsid w:val="1FCD3DD6"/>
    <w:rsid w:val="1FD66A1E"/>
    <w:rsid w:val="1FDB3353"/>
    <w:rsid w:val="1FDE7E54"/>
    <w:rsid w:val="1FE049EE"/>
    <w:rsid w:val="1FEA76DC"/>
    <w:rsid w:val="1FEF4CE2"/>
    <w:rsid w:val="1FFF0FFF"/>
    <w:rsid w:val="20054218"/>
    <w:rsid w:val="200D6AC1"/>
    <w:rsid w:val="200F2F52"/>
    <w:rsid w:val="20117FCF"/>
    <w:rsid w:val="201609BC"/>
    <w:rsid w:val="20162178"/>
    <w:rsid w:val="20236FAD"/>
    <w:rsid w:val="20240686"/>
    <w:rsid w:val="202432F0"/>
    <w:rsid w:val="20264B8E"/>
    <w:rsid w:val="20305720"/>
    <w:rsid w:val="20385A87"/>
    <w:rsid w:val="203E5653"/>
    <w:rsid w:val="204249D0"/>
    <w:rsid w:val="20517888"/>
    <w:rsid w:val="206A1776"/>
    <w:rsid w:val="206D147D"/>
    <w:rsid w:val="20751791"/>
    <w:rsid w:val="207F47FD"/>
    <w:rsid w:val="20843BC9"/>
    <w:rsid w:val="2086450E"/>
    <w:rsid w:val="20873272"/>
    <w:rsid w:val="20880362"/>
    <w:rsid w:val="20974FF1"/>
    <w:rsid w:val="20A47A10"/>
    <w:rsid w:val="20AC67C6"/>
    <w:rsid w:val="20C14D6D"/>
    <w:rsid w:val="20C37D3C"/>
    <w:rsid w:val="20C66565"/>
    <w:rsid w:val="20C90A78"/>
    <w:rsid w:val="20E047BB"/>
    <w:rsid w:val="20F21B0A"/>
    <w:rsid w:val="20F27FDE"/>
    <w:rsid w:val="210F299C"/>
    <w:rsid w:val="2116171C"/>
    <w:rsid w:val="211869B1"/>
    <w:rsid w:val="211A52E7"/>
    <w:rsid w:val="211E6970"/>
    <w:rsid w:val="21272633"/>
    <w:rsid w:val="213C09CB"/>
    <w:rsid w:val="21422D9A"/>
    <w:rsid w:val="214622AC"/>
    <w:rsid w:val="214E1C76"/>
    <w:rsid w:val="215A5162"/>
    <w:rsid w:val="215B7368"/>
    <w:rsid w:val="215E7AE0"/>
    <w:rsid w:val="216E7424"/>
    <w:rsid w:val="21710ABB"/>
    <w:rsid w:val="217473A6"/>
    <w:rsid w:val="21775C97"/>
    <w:rsid w:val="217B0B00"/>
    <w:rsid w:val="21965B74"/>
    <w:rsid w:val="2199080C"/>
    <w:rsid w:val="219C163B"/>
    <w:rsid w:val="21AB64DC"/>
    <w:rsid w:val="21AC0A31"/>
    <w:rsid w:val="21BB2371"/>
    <w:rsid w:val="21BC059A"/>
    <w:rsid w:val="21C372AD"/>
    <w:rsid w:val="21CD11C1"/>
    <w:rsid w:val="21CE1463"/>
    <w:rsid w:val="21DE4CF1"/>
    <w:rsid w:val="21DE514B"/>
    <w:rsid w:val="21E148E7"/>
    <w:rsid w:val="21E877B6"/>
    <w:rsid w:val="21EA66BB"/>
    <w:rsid w:val="21F37F51"/>
    <w:rsid w:val="21F4600F"/>
    <w:rsid w:val="21FD65E3"/>
    <w:rsid w:val="220534C3"/>
    <w:rsid w:val="22112CA7"/>
    <w:rsid w:val="22212305"/>
    <w:rsid w:val="2229526F"/>
    <w:rsid w:val="223409C4"/>
    <w:rsid w:val="223F381C"/>
    <w:rsid w:val="22417935"/>
    <w:rsid w:val="22454FD4"/>
    <w:rsid w:val="2250591D"/>
    <w:rsid w:val="2264553B"/>
    <w:rsid w:val="226B4A2F"/>
    <w:rsid w:val="22740000"/>
    <w:rsid w:val="227941F5"/>
    <w:rsid w:val="22836EC0"/>
    <w:rsid w:val="228665F6"/>
    <w:rsid w:val="22894D7F"/>
    <w:rsid w:val="22940266"/>
    <w:rsid w:val="22941CCB"/>
    <w:rsid w:val="2295725B"/>
    <w:rsid w:val="22984CC9"/>
    <w:rsid w:val="229C0F5C"/>
    <w:rsid w:val="229E1B92"/>
    <w:rsid w:val="22A24109"/>
    <w:rsid w:val="22A80486"/>
    <w:rsid w:val="22AF3680"/>
    <w:rsid w:val="22B4005C"/>
    <w:rsid w:val="22B50BCE"/>
    <w:rsid w:val="22BB697C"/>
    <w:rsid w:val="22C32FCC"/>
    <w:rsid w:val="22CA3922"/>
    <w:rsid w:val="22D60D06"/>
    <w:rsid w:val="22DE1646"/>
    <w:rsid w:val="22E224ED"/>
    <w:rsid w:val="22F2467C"/>
    <w:rsid w:val="22F46A50"/>
    <w:rsid w:val="22F60D9C"/>
    <w:rsid w:val="23043F2E"/>
    <w:rsid w:val="23055106"/>
    <w:rsid w:val="230A7293"/>
    <w:rsid w:val="23114A3D"/>
    <w:rsid w:val="231A5416"/>
    <w:rsid w:val="231B25B2"/>
    <w:rsid w:val="231B41D5"/>
    <w:rsid w:val="232135F0"/>
    <w:rsid w:val="23234206"/>
    <w:rsid w:val="2333544F"/>
    <w:rsid w:val="23337E60"/>
    <w:rsid w:val="23441C96"/>
    <w:rsid w:val="234F0B6C"/>
    <w:rsid w:val="235612AF"/>
    <w:rsid w:val="23562FFD"/>
    <w:rsid w:val="235D2A9C"/>
    <w:rsid w:val="235D5478"/>
    <w:rsid w:val="23666147"/>
    <w:rsid w:val="238745A5"/>
    <w:rsid w:val="238F5A87"/>
    <w:rsid w:val="239447F6"/>
    <w:rsid w:val="239B342C"/>
    <w:rsid w:val="239B4A0F"/>
    <w:rsid w:val="23B80D91"/>
    <w:rsid w:val="23B834CC"/>
    <w:rsid w:val="23C17543"/>
    <w:rsid w:val="23C27034"/>
    <w:rsid w:val="23C37A76"/>
    <w:rsid w:val="23D977C9"/>
    <w:rsid w:val="23E6183D"/>
    <w:rsid w:val="23EE5D27"/>
    <w:rsid w:val="23F42011"/>
    <w:rsid w:val="23FD7081"/>
    <w:rsid w:val="24007931"/>
    <w:rsid w:val="24092B08"/>
    <w:rsid w:val="240B6371"/>
    <w:rsid w:val="240D3AC6"/>
    <w:rsid w:val="240F3AE8"/>
    <w:rsid w:val="24210F6D"/>
    <w:rsid w:val="24240A78"/>
    <w:rsid w:val="242429D6"/>
    <w:rsid w:val="24246277"/>
    <w:rsid w:val="24267876"/>
    <w:rsid w:val="24284ED1"/>
    <w:rsid w:val="242A45E4"/>
    <w:rsid w:val="24364C05"/>
    <w:rsid w:val="243F671B"/>
    <w:rsid w:val="244F3D09"/>
    <w:rsid w:val="24577456"/>
    <w:rsid w:val="24586EC0"/>
    <w:rsid w:val="24597873"/>
    <w:rsid w:val="245C3E3B"/>
    <w:rsid w:val="246D1569"/>
    <w:rsid w:val="246F2A0D"/>
    <w:rsid w:val="24793186"/>
    <w:rsid w:val="247A494A"/>
    <w:rsid w:val="2491500C"/>
    <w:rsid w:val="249172C5"/>
    <w:rsid w:val="2493520C"/>
    <w:rsid w:val="249A4AFF"/>
    <w:rsid w:val="24A05174"/>
    <w:rsid w:val="24A321BC"/>
    <w:rsid w:val="24A61559"/>
    <w:rsid w:val="24AA38AD"/>
    <w:rsid w:val="24AA7916"/>
    <w:rsid w:val="24B44B37"/>
    <w:rsid w:val="24C5179F"/>
    <w:rsid w:val="24C57349"/>
    <w:rsid w:val="24CA315E"/>
    <w:rsid w:val="24D61A9C"/>
    <w:rsid w:val="24D91572"/>
    <w:rsid w:val="24DC308E"/>
    <w:rsid w:val="24DF5489"/>
    <w:rsid w:val="24E532DC"/>
    <w:rsid w:val="24EE1B08"/>
    <w:rsid w:val="24F73E99"/>
    <w:rsid w:val="24FF2AB9"/>
    <w:rsid w:val="25107661"/>
    <w:rsid w:val="25154D12"/>
    <w:rsid w:val="25193174"/>
    <w:rsid w:val="251C6E56"/>
    <w:rsid w:val="25217218"/>
    <w:rsid w:val="25231807"/>
    <w:rsid w:val="252728F5"/>
    <w:rsid w:val="252B680E"/>
    <w:rsid w:val="252E4D1F"/>
    <w:rsid w:val="2532686A"/>
    <w:rsid w:val="25441418"/>
    <w:rsid w:val="25510D20"/>
    <w:rsid w:val="255A4559"/>
    <w:rsid w:val="255B4200"/>
    <w:rsid w:val="255E193C"/>
    <w:rsid w:val="255E5D7E"/>
    <w:rsid w:val="25622059"/>
    <w:rsid w:val="25672263"/>
    <w:rsid w:val="25676C47"/>
    <w:rsid w:val="25725070"/>
    <w:rsid w:val="25793EFA"/>
    <w:rsid w:val="257B39C8"/>
    <w:rsid w:val="257B432A"/>
    <w:rsid w:val="25817293"/>
    <w:rsid w:val="25862CDC"/>
    <w:rsid w:val="258B0421"/>
    <w:rsid w:val="259074E3"/>
    <w:rsid w:val="259326A4"/>
    <w:rsid w:val="25976D07"/>
    <w:rsid w:val="259A7097"/>
    <w:rsid w:val="259D2E5F"/>
    <w:rsid w:val="25A047B0"/>
    <w:rsid w:val="25A82157"/>
    <w:rsid w:val="25AC40AD"/>
    <w:rsid w:val="25AC613E"/>
    <w:rsid w:val="25B45DFB"/>
    <w:rsid w:val="25B53E95"/>
    <w:rsid w:val="25B66343"/>
    <w:rsid w:val="25BE4BBC"/>
    <w:rsid w:val="25C06752"/>
    <w:rsid w:val="25C43402"/>
    <w:rsid w:val="25C67A6A"/>
    <w:rsid w:val="25D03271"/>
    <w:rsid w:val="25D0376E"/>
    <w:rsid w:val="25DA4BA2"/>
    <w:rsid w:val="25DF61D8"/>
    <w:rsid w:val="260115AE"/>
    <w:rsid w:val="26061196"/>
    <w:rsid w:val="260B440E"/>
    <w:rsid w:val="26107E04"/>
    <w:rsid w:val="261161A1"/>
    <w:rsid w:val="261C5718"/>
    <w:rsid w:val="261F1181"/>
    <w:rsid w:val="261F2BFA"/>
    <w:rsid w:val="261F5D33"/>
    <w:rsid w:val="26200A38"/>
    <w:rsid w:val="262C575E"/>
    <w:rsid w:val="263F5520"/>
    <w:rsid w:val="26400FB6"/>
    <w:rsid w:val="264418C4"/>
    <w:rsid w:val="26475E60"/>
    <w:rsid w:val="264C12EB"/>
    <w:rsid w:val="2654366C"/>
    <w:rsid w:val="265D6636"/>
    <w:rsid w:val="26645078"/>
    <w:rsid w:val="26686E7E"/>
    <w:rsid w:val="268C1646"/>
    <w:rsid w:val="269E134D"/>
    <w:rsid w:val="26A6351A"/>
    <w:rsid w:val="26A64D29"/>
    <w:rsid w:val="26B02E2F"/>
    <w:rsid w:val="26CF74CE"/>
    <w:rsid w:val="26D26DCB"/>
    <w:rsid w:val="26D36627"/>
    <w:rsid w:val="26DD6207"/>
    <w:rsid w:val="26E040A4"/>
    <w:rsid w:val="26E65245"/>
    <w:rsid w:val="26E74790"/>
    <w:rsid w:val="26EC21D4"/>
    <w:rsid w:val="26EC6707"/>
    <w:rsid w:val="26F07FA9"/>
    <w:rsid w:val="26F1253F"/>
    <w:rsid w:val="270573C0"/>
    <w:rsid w:val="2705794C"/>
    <w:rsid w:val="270632C1"/>
    <w:rsid w:val="27077681"/>
    <w:rsid w:val="27127F39"/>
    <w:rsid w:val="271C18AB"/>
    <w:rsid w:val="271D5C1E"/>
    <w:rsid w:val="2725682B"/>
    <w:rsid w:val="273958C6"/>
    <w:rsid w:val="273A6354"/>
    <w:rsid w:val="274209D7"/>
    <w:rsid w:val="27522EA7"/>
    <w:rsid w:val="27527B7E"/>
    <w:rsid w:val="275B2651"/>
    <w:rsid w:val="275E5D22"/>
    <w:rsid w:val="27727F71"/>
    <w:rsid w:val="278C44A7"/>
    <w:rsid w:val="279A2ACC"/>
    <w:rsid w:val="279C7242"/>
    <w:rsid w:val="279E5F9F"/>
    <w:rsid w:val="279F1077"/>
    <w:rsid w:val="27A05198"/>
    <w:rsid w:val="27AE0AAE"/>
    <w:rsid w:val="27B24F35"/>
    <w:rsid w:val="27C1092C"/>
    <w:rsid w:val="27C135C1"/>
    <w:rsid w:val="27C245CF"/>
    <w:rsid w:val="27C75D3D"/>
    <w:rsid w:val="27D84107"/>
    <w:rsid w:val="27E13DFF"/>
    <w:rsid w:val="27E376FB"/>
    <w:rsid w:val="27EE5546"/>
    <w:rsid w:val="27F3755E"/>
    <w:rsid w:val="27F5572D"/>
    <w:rsid w:val="28013B9D"/>
    <w:rsid w:val="280816A2"/>
    <w:rsid w:val="2815563F"/>
    <w:rsid w:val="281D3396"/>
    <w:rsid w:val="283151B7"/>
    <w:rsid w:val="28474E05"/>
    <w:rsid w:val="284C2F96"/>
    <w:rsid w:val="28581BC5"/>
    <w:rsid w:val="286420FF"/>
    <w:rsid w:val="286C1074"/>
    <w:rsid w:val="28740651"/>
    <w:rsid w:val="28767A11"/>
    <w:rsid w:val="287B66EF"/>
    <w:rsid w:val="287B6A4C"/>
    <w:rsid w:val="287D0A51"/>
    <w:rsid w:val="28831683"/>
    <w:rsid w:val="28896941"/>
    <w:rsid w:val="288D323E"/>
    <w:rsid w:val="28903690"/>
    <w:rsid w:val="28A917FF"/>
    <w:rsid w:val="28B108D2"/>
    <w:rsid w:val="28B21ED7"/>
    <w:rsid w:val="28B52D32"/>
    <w:rsid w:val="28B92832"/>
    <w:rsid w:val="28B93B75"/>
    <w:rsid w:val="28C52EC3"/>
    <w:rsid w:val="28D618E3"/>
    <w:rsid w:val="28D770DC"/>
    <w:rsid w:val="28E475DB"/>
    <w:rsid w:val="28EB2C29"/>
    <w:rsid w:val="28F75256"/>
    <w:rsid w:val="28FB2F84"/>
    <w:rsid w:val="28FD3F34"/>
    <w:rsid w:val="290B38E4"/>
    <w:rsid w:val="290F0CD2"/>
    <w:rsid w:val="2918218B"/>
    <w:rsid w:val="291D6345"/>
    <w:rsid w:val="291D676A"/>
    <w:rsid w:val="291E3EC1"/>
    <w:rsid w:val="29240FF7"/>
    <w:rsid w:val="29263327"/>
    <w:rsid w:val="29296668"/>
    <w:rsid w:val="292B6B56"/>
    <w:rsid w:val="292E055E"/>
    <w:rsid w:val="293D37FE"/>
    <w:rsid w:val="29492A20"/>
    <w:rsid w:val="2951142D"/>
    <w:rsid w:val="29592A11"/>
    <w:rsid w:val="295C7716"/>
    <w:rsid w:val="295E11C0"/>
    <w:rsid w:val="295F1E51"/>
    <w:rsid w:val="296633D8"/>
    <w:rsid w:val="29702C3C"/>
    <w:rsid w:val="29813C2F"/>
    <w:rsid w:val="2981716B"/>
    <w:rsid w:val="298A51E5"/>
    <w:rsid w:val="298D6239"/>
    <w:rsid w:val="29917996"/>
    <w:rsid w:val="29C132ED"/>
    <w:rsid w:val="29C945B6"/>
    <w:rsid w:val="29D60870"/>
    <w:rsid w:val="29D70DFD"/>
    <w:rsid w:val="29E240DC"/>
    <w:rsid w:val="29E37792"/>
    <w:rsid w:val="29E85B99"/>
    <w:rsid w:val="29E9562E"/>
    <w:rsid w:val="29EA7F5F"/>
    <w:rsid w:val="29FA3767"/>
    <w:rsid w:val="2A0305E0"/>
    <w:rsid w:val="2A0B459A"/>
    <w:rsid w:val="2A0E14A7"/>
    <w:rsid w:val="2A122093"/>
    <w:rsid w:val="2A18025E"/>
    <w:rsid w:val="2A1E0DB4"/>
    <w:rsid w:val="2A2B4E3C"/>
    <w:rsid w:val="2A31311C"/>
    <w:rsid w:val="2A345935"/>
    <w:rsid w:val="2A362B90"/>
    <w:rsid w:val="2A396B85"/>
    <w:rsid w:val="2A3970BB"/>
    <w:rsid w:val="2A3F26A0"/>
    <w:rsid w:val="2A4A753C"/>
    <w:rsid w:val="2A4B02E3"/>
    <w:rsid w:val="2A682218"/>
    <w:rsid w:val="2A6B39C0"/>
    <w:rsid w:val="2A6D11A6"/>
    <w:rsid w:val="2A7431FC"/>
    <w:rsid w:val="2A750315"/>
    <w:rsid w:val="2A7C326F"/>
    <w:rsid w:val="2A7E4752"/>
    <w:rsid w:val="2A884345"/>
    <w:rsid w:val="2A8B6713"/>
    <w:rsid w:val="2A9A13C6"/>
    <w:rsid w:val="2A9B439B"/>
    <w:rsid w:val="2A9C5247"/>
    <w:rsid w:val="2AA82C25"/>
    <w:rsid w:val="2AB84B80"/>
    <w:rsid w:val="2AB8792A"/>
    <w:rsid w:val="2AC16173"/>
    <w:rsid w:val="2AC82337"/>
    <w:rsid w:val="2AD24543"/>
    <w:rsid w:val="2ADE3038"/>
    <w:rsid w:val="2AE132A3"/>
    <w:rsid w:val="2AEA3170"/>
    <w:rsid w:val="2AF33AC6"/>
    <w:rsid w:val="2AF95751"/>
    <w:rsid w:val="2B01168A"/>
    <w:rsid w:val="2B095DF3"/>
    <w:rsid w:val="2B0F6AC0"/>
    <w:rsid w:val="2B1240B8"/>
    <w:rsid w:val="2B186BC6"/>
    <w:rsid w:val="2B233130"/>
    <w:rsid w:val="2B263801"/>
    <w:rsid w:val="2B2F47FC"/>
    <w:rsid w:val="2B3A54C6"/>
    <w:rsid w:val="2B3F7D0C"/>
    <w:rsid w:val="2B4A4B58"/>
    <w:rsid w:val="2B4C5F03"/>
    <w:rsid w:val="2B66278F"/>
    <w:rsid w:val="2B786AE2"/>
    <w:rsid w:val="2B866959"/>
    <w:rsid w:val="2B8744B6"/>
    <w:rsid w:val="2B8B2CE8"/>
    <w:rsid w:val="2B946F21"/>
    <w:rsid w:val="2B9D0F0B"/>
    <w:rsid w:val="2BA919B0"/>
    <w:rsid w:val="2BAA1E02"/>
    <w:rsid w:val="2BB5675D"/>
    <w:rsid w:val="2BB92785"/>
    <w:rsid w:val="2BBE18EA"/>
    <w:rsid w:val="2BC92920"/>
    <w:rsid w:val="2BCD3157"/>
    <w:rsid w:val="2BCD6DAC"/>
    <w:rsid w:val="2BD6655A"/>
    <w:rsid w:val="2BD76DFD"/>
    <w:rsid w:val="2BE6325C"/>
    <w:rsid w:val="2BEC602C"/>
    <w:rsid w:val="2BEF4770"/>
    <w:rsid w:val="2BF260E4"/>
    <w:rsid w:val="2BF402FB"/>
    <w:rsid w:val="2BF82C3A"/>
    <w:rsid w:val="2BFA151D"/>
    <w:rsid w:val="2BFA1EB2"/>
    <w:rsid w:val="2BFF42A4"/>
    <w:rsid w:val="2C030D98"/>
    <w:rsid w:val="2C065D55"/>
    <w:rsid w:val="2C070084"/>
    <w:rsid w:val="2C0D6F4B"/>
    <w:rsid w:val="2C157878"/>
    <w:rsid w:val="2C282D5A"/>
    <w:rsid w:val="2C283637"/>
    <w:rsid w:val="2C383825"/>
    <w:rsid w:val="2C3C71BA"/>
    <w:rsid w:val="2C400E5E"/>
    <w:rsid w:val="2C471CAF"/>
    <w:rsid w:val="2C494192"/>
    <w:rsid w:val="2C4969A9"/>
    <w:rsid w:val="2C5518C5"/>
    <w:rsid w:val="2C593792"/>
    <w:rsid w:val="2C5E1E85"/>
    <w:rsid w:val="2C6E18C3"/>
    <w:rsid w:val="2C7121E5"/>
    <w:rsid w:val="2C7F17FC"/>
    <w:rsid w:val="2C8356F9"/>
    <w:rsid w:val="2C843BA1"/>
    <w:rsid w:val="2C856BAF"/>
    <w:rsid w:val="2C933CC5"/>
    <w:rsid w:val="2C9478A7"/>
    <w:rsid w:val="2CB126DC"/>
    <w:rsid w:val="2CB14575"/>
    <w:rsid w:val="2CB16825"/>
    <w:rsid w:val="2CBE2F5B"/>
    <w:rsid w:val="2CC2082C"/>
    <w:rsid w:val="2CC62C2E"/>
    <w:rsid w:val="2CDA58A5"/>
    <w:rsid w:val="2CDB12B8"/>
    <w:rsid w:val="2CE657CE"/>
    <w:rsid w:val="2CEA74C1"/>
    <w:rsid w:val="2CF92EFE"/>
    <w:rsid w:val="2D0535A3"/>
    <w:rsid w:val="2D0965D2"/>
    <w:rsid w:val="2D0E70B9"/>
    <w:rsid w:val="2D1A73A7"/>
    <w:rsid w:val="2D1C62BA"/>
    <w:rsid w:val="2D1C7D9B"/>
    <w:rsid w:val="2D260D64"/>
    <w:rsid w:val="2D2776AC"/>
    <w:rsid w:val="2D2D5160"/>
    <w:rsid w:val="2D305E9B"/>
    <w:rsid w:val="2D4C0251"/>
    <w:rsid w:val="2D4C562D"/>
    <w:rsid w:val="2D560804"/>
    <w:rsid w:val="2D592B5F"/>
    <w:rsid w:val="2D5A2697"/>
    <w:rsid w:val="2D5B646D"/>
    <w:rsid w:val="2D630BFB"/>
    <w:rsid w:val="2D662299"/>
    <w:rsid w:val="2D76145D"/>
    <w:rsid w:val="2D894469"/>
    <w:rsid w:val="2D8F2615"/>
    <w:rsid w:val="2D8F5772"/>
    <w:rsid w:val="2D9042F7"/>
    <w:rsid w:val="2DA77E6D"/>
    <w:rsid w:val="2DAA375F"/>
    <w:rsid w:val="2DB014E2"/>
    <w:rsid w:val="2DB90A5F"/>
    <w:rsid w:val="2DBE0AC5"/>
    <w:rsid w:val="2DC273EB"/>
    <w:rsid w:val="2DC305BA"/>
    <w:rsid w:val="2DC56507"/>
    <w:rsid w:val="2DCF43AC"/>
    <w:rsid w:val="2DCF6641"/>
    <w:rsid w:val="2DD129B5"/>
    <w:rsid w:val="2DD6525A"/>
    <w:rsid w:val="2DD80FFD"/>
    <w:rsid w:val="2DEB5870"/>
    <w:rsid w:val="2DF26C9A"/>
    <w:rsid w:val="2DF7204B"/>
    <w:rsid w:val="2DFE2034"/>
    <w:rsid w:val="2E19553D"/>
    <w:rsid w:val="2E1A544A"/>
    <w:rsid w:val="2E1D524D"/>
    <w:rsid w:val="2E2528C3"/>
    <w:rsid w:val="2E2E5F0F"/>
    <w:rsid w:val="2E355C2D"/>
    <w:rsid w:val="2E387198"/>
    <w:rsid w:val="2E463B8A"/>
    <w:rsid w:val="2E494EED"/>
    <w:rsid w:val="2E4C604E"/>
    <w:rsid w:val="2E527529"/>
    <w:rsid w:val="2E572363"/>
    <w:rsid w:val="2E594633"/>
    <w:rsid w:val="2E675A1F"/>
    <w:rsid w:val="2E6C5021"/>
    <w:rsid w:val="2E7F0F0E"/>
    <w:rsid w:val="2E7F250F"/>
    <w:rsid w:val="2E813ADD"/>
    <w:rsid w:val="2E826BFB"/>
    <w:rsid w:val="2E832EF1"/>
    <w:rsid w:val="2E926A8D"/>
    <w:rsid w:val="2E96072E"/>
    <w:rsid w:val="2E9705F1"/>
    <w:rsid w:val="2E993C1D"/>
    <w:rsid w:val="2E996D36"/>
    <w:rsid w:val="2E9A22B8"/>
    <w:rsid w:val="2EAB7344"/>
    <w:rsid w:val="2EAD3821"/>
    <w:rsid w:val="2EB61471"/>
    <w:rsid w:val="2EB83B06"/>
    <w:rsid w:val="2EBB4109"/>
    <w:rsid w:val="2ECB179C"/>
    <w:rsid w:val="2EDE4D55"/>
    <w:rsid w:val="2EDE670E"/>
    <w:rsid w:val="2EE33B39"/>
    <w:rsid w:val="2EE64A5F"/>
    <w:rsid w:val="2EF02210"/>
    <w:rsid w:val="2EF2338C"/>
    <w:rsid w:val="2EF7D15C"/>
    <w:rsid w:val="2F0B656E"/>
    <w:rsid w:val="2F0F2203"/>
    <w:rsid w:val="2F170BE7"/>
    <w:rsid w:val="2F31001A"/>
    <w:rsid w:val="2F314515"/>
    <w:rsid w:val="2F36591F"/>
    <w:rsid w:val="2F38458D"/>
    <w:rsid w:val="2F3977CF"/>
    <w:rsid w:val="2F3C1703"/>
    <w:rsid w:val="2F3E36CD"/>
    <w:rsid w:val="2F4907DC"/>
    <w:rsid w:val="2F5854DA"/>
    <w:rsid w:val="2F5F04B7"/>
    <w:rsid w:val="2F5F3D66"/>
    <w:rsid w:val="2F602F82"/>
    <w:rsid w:val="2F68684B"/>
    <w:rsid w:val="2F6E6A58"/>
    <w:rsid w:val="2F716710"/>
    <w:rsid w:val="2F807842"/>
    <w:rsid w:val="2F861209"/>
    <w:rsid w:val="2F871EDA"/>
    <w:rsid w:val="2F9B3F18"/>
    <w:rsid w:val="2F9E199E"/>
    <w:rsid w:val="2F9F8E32"/>
    <w:rsid w:val="2FA32000"/>
    <w:rsid w:val="2FAA17C0"/>
    <w:rsid w:val="2FB2583E"/>
    <w:rsid w:val="2FC526D3"/>
    <w:rsid w:val="2FC5459A"/>
    <w:rsid w:val="2FCA475A"/>
    <w:rsid w:val="2FD665FF"/>
    <w:rsid w:val="2FDE5147"/>
    <w:rsid w:val="2FE02569"/>
    <w:rsid w:val="2FE221A9"/>
    <w:rsid w:val="2FEF2D6F"/>
    <w:rsid w:val="2FF0632A"/>
    <w:rsid w:val="30036153"/>
    <w:rsid w:val="300A5E06"/>
    <w:rsid w:val="300A5EDE"/>
    <w:rsid w:val="300B4F01"/>
    <w:rsid w:val="300B7B6C"/>
    <w:rsid w:val="300E73CA"/>
    <w:rsid w:val="301A75AE"/>
    <w:rsid w:val="30213161"/>
    <w:rsid w:val="302F3B21"/>
    <w:rsid w:val="30314EF9"/>
    <w:rsid w:val="30384ACA"/>
    <w:rsid w:val="303F5802"/>
    <w:rsid w:val="305E3F23"/>
    <w:rsid w:val="305F062A"/>
    <w:rsid w:val="30674F37"/>
    <w:rsid w:val="306A70B3"/>
    <w:rsid w:val="307524C1"/>
    <w:rsid w:val="30782FB4"/>
    <w:rsid w:val="30797EFD"/>
    <w:rsid w:val="30867E3E"/>
    <w:rsid w:val="30905A13"/>
    <w:rsid w:val="309C00C4"/>
    <w:rsid w:val="309D7F16"/>
    <w:rsid w:val="309F3E6F"/>
    <w:rsid w:val="30A300EF"/>
    <w:rsid w:val="30A646BF"/>
    <w:rsid w:val="30A7055C"/>
    <w:rsid w:val="30A74324"/>
    <w:rsid w:val="30B21536"/>
    <w:rsid w:val="30BC6485"/>
    <w:rsid w:val="30C0045B"/>
    <w:rsid w:val="30C43182"/>
    <w:rsid w:val="30CA2546"/>
    <w:rsid w:val="30CE72AD"/>
    <w:rsid w:val="30D1020A"/>
    <w:rsid w:val="30D1258D"/>
    <w:rsid w:val="30D86630"/>
    <w:rsid w:val="30D909A5"/>
    <w:rsid w:val="30DE691B"/>
    <w:rsid w:val="30EB2C1C"/>
    <w:rsid w:val="30F35AA4"/>
    <w:rsid w:val="3101780C"/>
    <w:rsid w:val="31040F5F"/>
    <w:rsid w:val="310B3C0B"/>
    <w:rsid w:val="31150A86"/>
    <w:rsid w:val="311C7112"/>
    <w:rsid w:val="311F3698"/>
    <w:rsid w:val="31232A81"/>
    <w:rsid w:val="312D094E"/>
    <w:rsid w:val="312D2661"/>
    <w:rsid w:val="312E4DD9"/>
    <w:rsid w:val="313226E1"/>
    <w:rsid w:val="31336E22"/>
    <w:rsid w:val="313A311A"/>
    <w:rsid w:val="31425C56"/>
    <w:rsid w:val="31484767"/>
    <w:rsid w:val="31623585"/>
    <w:rsid w:val="316B1245"/>
    <w:rsid w:val="31774A21"/>
    <w:rsid w:val="31791FA6"/>
    <w:rsid w:val="318476D7"/>
    <w:rsid w:val="31860CAB"/>
    <w:rsid w:val="318D6F11"/>
    <w:rsid w:val="31903A76"/>
    <w:rsid w:val="319301AF"/>
    <w:rsid w:val="31934706"/>
    <w:rsid w:val="31961C40"/>
    <w:rsid w:val="31A616B7"/>
    <w:rsid w:val="31A94DBE"/>
    <w:rsid w:val="31BB0041"/>
    <w:rsid w:val="31BF4D98"/>
    <w:rsid w:val="31C07426"/>
    <w:rsid w:val="31C74B4B"/>
    <w:rsid w:val="31CA1777"/>
    <w:rsid w:val="31D47A7D"/>
    <w:rsid w:val="31D60699"/>
    <w:rsid w:val="31DA0464"/>
    <w:rsid w:val="31DE6715"/>
    <w:rsid w:val="31DF45E7"/>
    <w:rsid w:val="31F16419"/>
    <w:rsid w:val="31F2739B"/>
    <w:rsid w:val="31F54398"/>
    <w:rsid w:val="32016A6B"/>
    <w:rsid w:val="320C0E5F"/>
    <w:rsid w:val="320F7F3B"/>
    <w:rsid w:val="32107A09"/>
    <w:rsid w:val="32116D28"/>
    <w:rsid w:val="321421C8"/>
    <w:rsid w:val="322514D0"/>
    <w:rsid w:val="32364C77"/>
    <w:rsid w:val="325619F9"/>
    <w:rsid w:val="325822A0"/>
    <w:rsid w:val="32603158"/>
    <w:rsid w:val="3261063B"/>
    <w:rsid w:val="32711976"/>
    <w:rsid w:val="327B6233"/>
    <w:rsid w:val="327D95CA"/>
    <w:rsid w:val="328B19AA"/>
    <w:rsid w:val="329A4A7B"/>
    <w:rsid w:val="329E1D18"/>
    <w:rsid w:val="32A00B49"/>
    <w:rsid w:val="32A22F9B"/>
    <w:rsid w:val="32A63A63"/>
    <w:rsid w:val="32AD0F4E"/>
    <w:rsid w:val="32AF6DE9"/>
    <w:rsid w:val="32B73BBC"/>
    <w:rsid w:val="32B93214"/>
    <w:rsid w:val="32BD4920"/>
    <w:rsid w:val="32C81060"/>
    <w:rsid w:val="32D01AE8"/>
    <w:rsid w:val="32D50985"/>
    <w:rsid w:val="32D926A7"/>
    <w:rsid w:val="32DD6F2C"/>
    <w:rsid w:val="32E242BA"/>
    <w:rsid w:val="32E31851"/>
    <w:rsid w:val="32F70378"/>
    <w:rsid w:val="32FA78AE"/>
    <w:rsid w:val="32FC4990"/>
    <w:rsid w:val="33003609"/>
    <w:rsid w:val="330041AA"/>
    <w:rsid w:val="3304638E"/>
    <w:rsid w:val="330478C4"/>
    <w:rsid w:val="330E1C8A"/>
    <w:rsid w:val="33106A69"/>
    <w:rsid w:val="3312184E"/>
    <w:rsid w:val="33171760"/>
    <w:rsid w:val="331B044E"/>
    <w:rsid w:val="33267C40"/>
    <w:rsid w:val="332A592C"/>
    <w:rsid w:val="332D1A72"/>
    <w:rsid w:val="333D0826"/>
    <w:rsid w:val="334A2E1D"/>
    <w:rsid w:val="33500148"/>
    <w:rsid w:val="33511BE7"/>
    <w:rsid w:val="33525D93"/>
    <w:rsid w:val="335C1888"/>
    <w:rsid w:val="336B3DC9"/>
    <w:rsid w:val="336F3F68"/>
    <w:rsid w:val="33806918"/>
    <w:rsid w:val="339205EE"/>
    <w:rsid w:val="33960FDB"/>
    <w:rsid w:val="339937F0"/>
    <w:rsid w:val="33A1506B"/>
    <w:rsid w:val="33A779E5"/>
    <w:rsid w:val="33AD0878"/>
    <w:rsid w:val="33B34BD2"/>
    <w:rsid w:val="33B831BA"/>
    <w:rsid w:val="33BB1591"/>
    <w:rsid w:val="33CC5137"/>
    <w:rsid w:val="33D244C6"/>
    <w:rsid w:val="33D72B7F"/>
    <w:rsid w:val="33DD1110"/>
    <w:rsid w:val="33E82670"/>
    <w:rsid w:val="33EA17FA"/>
    <w:rsid w:val="33EC33BB"/>
    <w:rsid w:val="33F712D1"/>
    <w:rsid w:val="33FA66E6"/>
    <w:rsid w:val="33FE0315"/>
    <w:rsid w:val="33FF6692"/>
    <w:rsid w:val="340174A0"/>
    <w:rsid w:val="34026B88"/>
    <w:rsid w:val="3403368E"/>
    <w:rsid w:val="340622E0"/>
    <w:rsid w:val="34115EF2"/>
    <w:rsid w:val="3425446C"/>
    <w:rsid w:val="344718AC"/>
    <w:rsid w:val="345D31DA"/>
    <w:rsid w:val="346D274A"/>
    <w:rsid w:val="346D74AF"/>
    <w:rsid w:val="3471423A"/>
    <w:rsid w:val="34717995"/>
    <w:rsid w:val="3473203E"/>
    <w:rsid w:val="347647DE"/>
    <w:rsid w:val="3477208D"/>
    <w:rsid w:val="348757AB"/>
    <w:rsid w:val="348845DF"/>
    <w:rsid w:val="34A12F5C"/>
    <w:rsid w:val="34A645BB"/>
    <w:rsid w:val="34A915E9"/>
    <w:rsid w:val="34B7752E"/>
    <w:rsid w:val="34C42E1F"/>
    <w:rsid w:val="34C93736"/>
    <w:rsid w:val="34CC46D1"/>
    <w:rsid w:val="34CE1846"/>
    <w:rsid w:val="34CE236B"/>
    <w:rsid w:val="34D01111"/>
    <w:rsid w:val="34D53943"/>
    <w:rsid w:val="34DB2DB0"/>
    <w:rsid w:val="34DB4FDB"/>
    <w:rsid w:val="34E1383D"/>
    <w:rsid w:val="34E200B2"/>
    <w:rsid w:val="34ED78A8"/>
    <w:rsid w:val="34EE694C"/>
    <w:rsid w:val="34F36A70"/>
    <w:rsid w:val="34F64AAB"/>
    <w:rsid w:val="34FC42DD"/>
    <w:rsid w:val="350723C1"/>
    <w:rsid w:val="35142D62"/>
    <w:rsid w:val="35170C48"/>
    <w:rsid w:val="351D354B"/>
    <w:rsid w:val="3526679F"/>
    <w:rsid w:val="35316CDC"/>
    <w:rsid w:val="353529FB"/>
    <w:rsid w:val="353619B0"/>
    <w:rsid w:val="353F5E10"/>
    <w:rsid w:val="355C5C0E"/>
    <w:rsid w:val="35707DCE"/>
    <w:rsid w:val="357372D9"/>
    <w:rsid w:val="357C1BDC"/>
    <w:rsid w:val="35807330"/>
    <w:rsid w:val="35860D5F"/>
    <w:rsid w:val="35882A43"/>
    <w:rsid w:val="35B36548"/>
    <w:rsid w:val="35B67E79"/>
    <w:rsid w:val="35C15D5A"/>
    <w:rsid w:val="35C52A0B"/>
    <w:rsid w:val="35C66DA3"/>
    <w:rsid w:val="35E260B3"/>
    <w:rsid w:val="36081B54"/>
    <w:rsid w:val="360A420F"/>
    <w:rsid w:val="360C46D7"/>
    <w:rsid w:val="360F224C"/>
    <w:rsid w:val="36141106"/>
    <w:rsid w:val="361C537E"/>
    <w:rsid w:val="362133E7"/>
    <w:rsid w:val="36263A2F"/>
    <w:rsid w:val="362919BC"/>
    <w:rsid w:val="36325413"/>
    <w:rsid w:val="363940DB"/>
    <w:rsid w:val="364148CC"/>
    <w:rsid w:val="36550114"/>
    <w:rsid w:val="36595928"/>
    <w:rsid w:val="36604C46"/>
    <w:rsid w:val="366854D4"/>
    <w:rsid w:val="3676698C"/>
    <w:rsid w:val="368C1024"/>
    <w:rsid w:val="36901468"/>
    <w:rsid w:val="36971CF1"/>
    <w:rsid w:val="36A17E42"/>
    <w:rsid w:val="36AE0133"/>
    <w:rsid w:val="36AE75D0"/>
    <w:rsid w:val="36AF7A8C"/>
    <w:rsid w:val="36B53FAE"/>
    <w:rsid w:val="36E40667"/>
    <w:rsid w:val="36E63D72"/>
    <w:rsid w:val="36E84B5E"/>
    <w:rsid w:val="36EA3D35"/>
    <w:rsid w:val="36EC1C61"/>
    <w:rsid w:val="36F30D51"/>
    <w:rsid w:val="36FF5037"/>
    <w:rsid w:val="370B63E4"/>
    <w:rsid w:val="37164B03"/>
    <w:rsid w:val="37206FCD"/>
    <w:rsid w:val="372E1C2D"/>
    <w:rsid w:val="372F050B"/>
    <w:rsid w:val="373F2350"/>
    <w:rsid w:val="37544967"/>
    <w:rsid w:val="375635C6"/>
    <w:rsid w:val="37582DB4"/>
    <w:rsid w:val="375A0F93"/>
    <w:rsid w:val="375B0AFE"/>
    <w:rsid w:val="377D6CC1"/>
    <w:rsid w:val="37835DE2"/>
    <w:rsid w:val="37863F59"/>
    <w:rsid w:val="37904CA1"/>
    <w:rsid w:val="3793041D"/>
    <w:rsid w:val="37946EC5"/>
    <w:rsid w:val="379D34CF"/>
    <w:rsid w:val="37A659B3"/>
    <w:rsid w:val="37AD4A7A"/>
    <w:rsid w:val="37AE11FF"/>
    <w:rsid w:val="37B0227B"/>
    <w:rsid w:val="37B339F0"/>
    <w:rsid w:val="37B86F1F"/>
    <w:rsid w:val="37C3436C"/>
    <w:rsid w:val="37C6268D"/>
    <w:rsid w:val="37D10EBC"/>
    <w:rsid w:val="37D313DE"/>
    <w:rsid w:val="37D35AE1"/>
    <w:rsid w:val="37DEF11C"/>
    <w:rsid w:val="37E56184"/>
    <w:rsid w:val="37E942D3"/>
    <w:rsid w:val="37EA2507"/>
    <w:rsid w:val="37EB6CD4"/>
    <w:rsid w:val="37EC70CC"/>
    <w:rsid w:val="37EE2607"/>
    <w:rsid w:val="37F4497E"/>
    <w:rsid w:val="37F929F3"/>
    <w:rsid w:val="37FD1C90"/>
    <w:rsid w:val="37FE7B20"/>
    <w:rsid w:val="37FF606C"/>
    <w:rsid w:val="380A1D81"/>
    <w:rsid w:val="380F7729"/>
    <w:rsid w:val="382366E8"/>
    <w:rsid w:val="38287014"/>
    <w:rsid w:val="38316FC5"/>
    <w:rsid w:val="3835006B"/>
    <w:rsid w:val="3841307B"/>
    <w:rsid w:val="38472391"/>
    <w:rsid w:val="384D56EB"/>
    <w:rsid w:val="385010D0"/>
    <w:rsid w:val="38565BFD"/>
    <w:rsid w:val="38567B69"/>
    <w:rsid w:val="38573E47"/>
    <w:rsid w:val="38575C44"/>
    <w:rsid w:val="385A4751"/>
    <w:rsid w:val="385F152F"/>
    <w:rsid w:val="38670731"/>
    <w:rsid w:val="386F2FAD"/>
    <w:rsid w:val="38720547"/>
    <w:rsid w:val="388A0319"/>
    <w:rsid w:val="389E401F"/>
    <w:rsid w:val="389E41B6"/>
    <w:rsid w:val="38A11239"/>
    <w:rsid w:val="38A12497"/>
    <w:rsid w:val="38A12C42"/>
    <w:rsid w:val="38A445F1"/>
    <w:rsid w:val="38BB204E"/>
    <w:rsid w:val="38BD54D3"/>
    <w:rsid w:val="38BF4637"/>
    <w:rsid w:val="38D0207A"/>
    <w:rsid w:val="38D71012"/>
    <w:rsid w:val="38E009CF"/>
    <w:rsid w:val="38E9479A"/>
    <w:rsid w:val="38EF432C"/>
    <w:rsid w:val="38FFDE4A"/>
    <w:rsid w:val="3907349B"/>
    <w:rsid w:val="390B0A8A"/>
    <w:rsid w:val="390C2108"/>
    <w:rsid w:val="391226D8"/>
    <w:rsid w:val="39130A64"/>
    <w:rsid w:val="392C4597"/>
    <w:rsid w:val="392D5912"/>
    <w:rsid w:val="392F7D0F"/>
    <w:rsid w:val="39301DA2"/>
    <w:rsid w:val="393C583C"/>
    <w:rsid w:val="39403DD8"/>
    <w:rsid w:val="394227FE"/>
    <w:rsid w:val="39486103"/>
    <w:rsid w:val="39490E79"/>
    <w:rsid w:val="394B574E"/>
    <w:rsid w:val="394F75B9"/>
    <w:rsid w:val="395327E2"/>
    <w:rsid w:val="39660CF6"/>
    <w:rsid w:val="396E7AE1"/>
    <w:rsid w:val="39713487"/>
    <w:rsid w:val="397C2FF0"/>
    <w:rsid w:val="397CF41E"/>
    <w:rsid w:val="39933DE5"/>
    <w:rsid w:val="399942CA"/>
    <w:rsid w:val="39A75BA0"/>
    <w:rsid w:val="39BD2C57"/>
    <w:rsid w:val="39BE226B"/>
    <w:rsid w:val="39CA3F01"/>
    <w:rsid w:val="39D6612C"/>
    <w:rsid w:val="39DC0B53"/>
    <w:rsid w:val="39E4620D"/>
    <w:rsid w:val="39E80123"/>
    <w:rsid w:val="39EA2420"/>
    <w:rsid w:val="39F50704"/>
    <w:rsid w:val="39FD2A48"/>
    <w:rsid w:val="3A0D1138"/>
    <w:rsid w:val="3A125E82"/>
    <w:rsid w:val="3A204839"/>
    <w:rsid w:val="3A311D05"/>
    <w:rsid w:val="3A3A40A0"/>
    <w:rsid w:val="3A4145D9"/>
    <w:rsid w:val="3A4B60E0"/>
    <w:rsid w:val="3A59110E"/>
    <w:rsid w:val="3A5C1F1F"/>
    <w:rsid w:val="3A5C5DFC"/>
    <w:rsid w:val="3A5C6394"/>
    <w:rsid w:val="3A75448A"/>
    <w:rsid w:val="3A7B1CFC"/>
    <w:rsid w:val="3A7E63C1"/>
    <w:rsid w:val="3A8424B7"/>
    <w:rsid w:val="3A93383A"/>
    <w:rsid w:val="3A973B0A"/>
    <w:rsid w:val="3A974A60"/>
    <w:rsid w:val="3A9B19D4"/>
    <w:rsid w:val="3AA65B8D"/>
    <w:rsid w:val="3AAB3B7E"/>
    <w:rsid w:val="3AB23340"/>
    <w:rsid w:val="3AB82E4A"/>
    <w:rsid w:val="3ABD163C"/>
    <w:rsid w:val="3AD22EA8"/>
    <w:rsid w:val="3AD5656B"/>
    <w:rsid w:val="3AD9278E"/>
    <w:rsid w:val="3ADD5637"/>
    <w:rsid w:val="3AE66E2B"/>
    <w:rsid w:val="3AE84F1E"/>
    <w:rsid w:val="3AF33BC2"/>
    <w:rsid w:val="3AF7CEBB"/>
    <w:rsid w:val="3AFA76C1"/>
    <w:rsid w:val="3B003FCF"/>
    <w:rsid w:val="3B0D44BA"/>
    <w:rsid w:val="3B193592"/>
    <w:rsid w:val="3B2B281B"/>
    <w:rsid w:val="3B2C4F07"/>
    <w:rsid w:val="3B357C6F"/>
    <w:rsid w:val="3B474D42"/>
    <w:rsid w:val="3B4A552F"/>
    <w:rsid w:val="3B536189"/>
    <w:rsid w:val="3B584C77"/>
    <w:rsid w:val="3B5A151F"/>
    <w:rsid w:val="3B5E2E79"/>
    <w:rsid w:val="3B665FF1"/>
    <w:rsid w:val="3B6DE4E2"/>
    <w:rsid w:val="3B701DAE"/>
    <w:rsid w:val="3B726B08"/>
    <w:rsid w:val="3B796024"/>
    <w:rsid w:val="3B7A54DE"/>
    <w:rsid w:val="3B7F1A61"/>
    <w:rsid w:val="3B871FE2"/>
    <w:rsid w:val="3B874476"/>
    <w:rsid w:val="3B940868"/>
    <w:rsid w:val="3B961E68"/>
    <w:rsid w:val="3BA11173"/>
    <w:rsid w:val="3BB930F1"/>
    <w:rsid w:val="3BBA23F6"/>
    <w:rsid w:val="3BBD6347"/>
    <w:rsid w:val="3BC30935"/>
    <w:rsid w:val="3BC437AD"/>
    <w:rsid w:val="3BCA423E"/>
    <w:rsid w:val="3BCF27E4"/>
    <w:rsid w:val="3BD3789A"/>
    <w:rsid w:val="3BD65781"/>
    <w:rsid w:val="3BD67D80"/>
    <w:rsid w:val="3BD80E45"/>
    <w:rsid w:val="3BD93E17"/>
    <w:rsid w:val="3BDE2272"/>
    <w:rsid w:val="3BE35D8C"/>
    <w:rsid w:val="3BF85769"/>
    <w:rsid w:val="3BF92207"/>
    <w:rsid w:val="3BFD145D"/>
    <w:rsid w:val="3C0E01C0"/>
    <w:rsid w:val="3C157564"/>
    <w:rsid w:val="3C1748D9"/>
    <w:rsid w:val="3C21638D"/>
    <w:rsid w:val="3C241F27"/>
    <w:rsid w:val="3C2E4744"/>
    <w:rsid w:val="3C32226A"/>
    <w:rsid w:val="3C364FC1"/>
    <w:rsid w:val="3C3B4724"/>
    <w:rsid w:val="3C3D58F7"/>
    <w:rsid w:val="3C3E36BB"/>
    <w:rsid w:val="3C3F25A6"/>
    <w:rsid w:val="3C44538E"/>
    <w:rsid w:val="3C4D3822"/>
    <w:rsid w:val="3C6978B0"/>
    <w:rsid w:val="3C6C31E7"/>
    <w:rsid w:val="3C773BD8"/>
    <w:rsid w:val="3C7D7826"/>
    <w:rsid w:val="3C975097"/>
    <w:rsid w:val="3CA46DCC"/>
    <w:rsid w:val="3CAD21B1"/>
    <w:rsid w:val="3CAE074B"/>
    <w:rsid w:val="3CC000DB"/>
    <w:rsid w:val="3CC11DA5"/>
    <w:rsid w:val="3CC77C02"/>
    <w:rsid w:val="3CD24A97"/>
    <w:rsid w:val="3CDA3064"/>
    <w:rsid w:val="3CDE1599"/>
    <w:rsid w:val="3CE6665F"/>
    <w:rsid w:val="3CEE6120"/>
    <w:rsid w:val="3CF078CE"/>
    <w:rsid w:val="3CF110AA"/>
    <w:rsid w:val="3CFD1EA2"/>
    <w:rsid w:val="3D004C75"/>
    <w:rsid w:val="3D040910"/>
    <w:rsid w:val="3D044A70"/>
    <w:rsid w:val="3D0A5B13"/>
    <w:rsid w:val="3D0C0D45"/>
    <w:rsid w:val="3D1E0E0D"/>
    <w:rsid w:val="3D2072DC"/>
    <w:rsid w:val="3D227B6D"/>
    <w:rsid w:val="3D28469C"/>
    <w:rsid w:val="3D2A6190"/>
    <w:rsid w:val="3D3814E7"/>
    <w:rsid w:val="3D4124DC"/>
    <w:rsid w:val="3D42014D"/>
    <w:rsid w:val="3D444671"/>
    <w:rsid w:val="3D445624"/>
    <w:rsid w:val="3D4613D6"/>
    <w:rsid w:val="3D48546A"/>
    <w:rsid w:val="3D4912D3"/>
    <w:rsid w:val="3D7243CA"/>
    <w:rsid w:val="3D7311F5"/>
    <w:rsid w:val="3D8A1A4F"/>
    <w:rsid w:val="3D9009B1"/>
    <w:rsid w:val="3D9F44E2"/>
    <w:rsid w:val="3DA320DE"/>
    <w:rsid w:val="3DA741DB"/>
    <w:rsid w:val="3DA848B4"/>
    <w:rsid w:val="3DB71B51"/>
    <w:rsid w:val="3DB74EB3"/>
    <w:rsid w:val="3DBF2387"/>
    <w:rsid w:val="3DC43C70"/>
    <w:rsid w:val="3DCA7BF8"/>
    <w:rsid w:val="3DD71F58"/>
    <w:rsid w:val="3DDA7A9D"/>
    <w:rsid w:val="3DDF529B"/>
    <w:rsid w:val="3DE13C2E"/>
    <w:rsid w:val="3DEA7EE1"/>
    <w:rsid w:val="3DEC1C70"/>
    <w:rsid w:val="3DF3018E"/>
    <w:rsid w:val="3DF604FA"/>
    <w:rsid w:val="3DF64687"/>
    <w:rsid w:val="3DFB70DD"/>
    <w:rsid w:val="3DFD76EF"/>
    <w:rsid w:val="3DFF005A"/>
    <w:rsid w:val="3E044172"/>
    <w:rsid w:val="3E0D4D76"/>
    <w:rsid w:val="3E142C18"/>
    <w:rsid w:val="3E1710B4"/>
    <w:rsid w:val="3E174A93"/>
    <w:rsid w:val="3E237643"/>
    <w:rsid w:val="3E280E29"/>
    <w:rsid w:val="3E2B4078"/>
    <w:rsid w:val="3E3068D7"/>
    <w:rsid w:val="3E345843"/>
    <w:rsid w:val="3E3A7FC7"/>
    <w:rsid w:val="3E3D587B"/>
    <w:rsid w:val="3E440D2D"/>
    <w:rsid w:val="3E4958AF"/>
    <w:rsid w:val="3E4A19E1"/>
    <w:rsid w:val="3E567A23"/>
    <w:rsid w:val="3E5B728A"/>
    <w:rsid w:val="3E5E40CB"/>
    <w:rsid w:val="3E6B0907"/>
    <w:rsid w:val="3E6C071E"/>
    <w:rsid w:val="3E6F511A"/>
    <w:rsid w:val="3E703721"/>
    <w:rsid w:val="3E73492E"/>
    <w:rsid w:val="3E74723E"/>
    <w:rsid w:val="3E77C4C8"/>
    <w:rsid w:val="3E784807"/>
    <w:rsid w:val="3E786E23"/>
    <w:rsid w:val="3E7C1AC6"/>
    <w:rsid w:val="3E875CB0"/>
    <w:rsid w:val="3E8C5257"/>
    <w:rsid w:val="3E917DE5"/>
    <w:rsid w:val="3E9D7715"/>
    <w:rsid w:val="3EA12C18"/>
    <w:rsid w:val="3EB94EC7"/>
    <w:rsid w:val="3EBF23EE"/>
    <w:rsid w:val="3EC7CF75"/>
    <w:rsid w:val="3EC96A0B"/>
    <w:rsid w:val="3ECDCD2F"/>
    <w:rsid w:val="3ED2321E"/>
    <w:rsid w:val="3ED54E13"/>
    <w:rsid w:val="3EE7317B"/>
    <w:rsid w:val="3EF31A6C"/>
    <w:rsid w:val="3EF76830"/>
    <w:rsid w:val="3EFD13B0"/>
    <w:rsid w:val="3F036844"/>
    <w:rsid w:val="3F25673D"/>
    <w:rsid w:val="3F2A38D5"/>
    <w:rsid w:val="3F317C42"/>
    <w:rsid w:val="3F350A16"/>
    <w:rsid w:val="3F394116"/>
    <w:rsid w:val="3F3C5A02"/>
    <w:rsid w:val="3F4324BD"/>
    <w:rsid w:val="3F502D21"/>
    <w:rsid w:val="3F5B2E88"/>
    <w:rsid w:val="3F5FC136"/>
    <w:rsid w:val="3F671E53"/>
    <w:rsid w:val="3F78110C"/>
    <w:rsid w:val="3F7960F3"/>
    <w:rsid w:val="3F7D64B7"/>
    <w:rsid w:val="3F7F2A0C"/>
    <w:rsid w:val="3F882465"/>
    <w:rsid w:val="3F91521C"/>
    <w:rsid w:val="3F982D01"/>
    <w:rsid w:val="3F9913B2"/>
    <w:rsid w:val="3FA73DCB"/>
    <w:rsid w:val="3FAD1977"/>
    <w:rsid w:val="3FB234F4"/>
    <w:rsid w:val="3FB53D36"/>
    <w:rsid w:val="3FB62F39"/>
    <w:rsid w:val="3FB82E1D"/>
    <w:rsid w:val="3FC06A75"/>
    <w:rsid w:val="3FC6721D"/>
    <w:rsid w:val="3FE70DE7"/>
    <w:rsid w:val="3FED33CC"/>
    <w:rsid w:val="3FEF26B9"/>
    <w:rsid w:val="3FEFAB60"/>
    <w:rsid w:val="3FEFFAAE"/>
    <w:rsid w:val="3FF2702B"/>
    <w:rsid w:val="3FFB6B2C"/>
    <w:rsid w:val="3FFF1448"/>
    <w:rsid w:val="40027EAB"/>
    <w:rsid w:val="401177E3"/>
    <w:rsid w:val="401474BA"/>
    <w:rsid w:val="40163346"/>
    <w:rsid w:val="4026386E"/>
    <w:rsid w:val="4035487A"/>
    <w:rsid w:val="4037075F"/>
    <w:rsid w:val="40381F27"/>
    <w:rsid w:val="403B39FF"/>
    <w:rsid w:val="403C57A6"/>
    <w:rsid w:val="403C8FAB"/>
    <w:rsid w:val="40423C6C"/>
    <w:rsid w:val="40541C1A"/>
    <w:rsid w:val="405F45C1"/>
    <w:rsid w:val="40644B7C"/>
    <w:rsid w:val="406D1E76"/>
    <w:rsid w:val="40724E05"/>
    <w:rsid w:val="407C28C4"/>
    <w:rsid w:val="408530FD"/>
    <w:rsid w:val="408F51D6"/>
    <w:rsid w:val="409238D9"/>
    <w:rsid w:val="409A5E2B"/>
    <w:rsid w:val="409B1EE1"/>
    <w:rsid w:val="40A54F12"/>
    <w:rsid w:val="40A56D32"/>
    <w:rsid w:val="40B90414"/>
    <w:rsid w:val="40BB2353"/>
    <w:rsid w:val="40C246CC"/>
    <w:rsid w:val="40CD1077"/>
    <w:rsid w:val="40CF3AA4"/>
    <w:rsid w:val="40DA76ED"/>
    <w:rsid w:val="40DC7CD0"/>
    <w:rsid w:val="40E512DC"/>
    <w:rsid w:val="40EA3EAE"/>
    <w:rsid w:val="40F76BD2"/>
    <w:rsid w:val="40FC7EF5"/>
    <w:rsid w:val="41024BDD"/>
    <w:rsid w:val="41024DC4"/>
    <w:rsid w:val="41083B3B"/>
    <w:rsid w:val="410858E9"/>
    <w:rsid w:val="41087697"/>
    <w:rsid w:val="411C1D35"/>
    <w:rsid w:val="412F6CCF"/>
    <w:rsid w:val="414D1D7E"/>
    <w:rsid w:val="41584C13"/>
    <w:rsid w:val="416B2737"/>
    <w:rsid w:val="41716BD8"/>
    <w:rsid w:val="41744BE9"/>
    <w:rsid w:val="417B5FD4"/>
    <w:rsid w:val="41874D5B"/>
    <w:rsid w:val="41915748"/>
    <w:rsid w:val="41971B3C"/>
    <w:rsid w:val="41984AB3"/>
    <w:rsid w:val="41985174"/>
    <w:rsid w:val="4199523A"/>
    <w:rsid w:val="419E0F01"/>
    <w:rsid w:val="419E2075"/>
    <w:rsid w:val="41A0316C"/>
    <w:rsid w:val="41A553D6"/>
    <w:rsid w:val="41A55DD5"/>
    <w:rsid w:val="41B6686B"/>
    <w:rsid w:val="41B978ED"/>
    <w:rsid w:val="41BC1F3A"/>
    <w:rsid w:val="41BD4A02"/>
    <w:rsid w:val="41BE1833"/>
    <w:rsid w:val="41BF0529"/>
    <w:rsid w:val="41D35611"/>
    <w:rsid w:val="41DB2861"/>
    <w:rsid w:val="41DF6487"/>
    <w:rsid w:val="41EB5AFA"/>
    <w:rsid w:val="41F663C4"/>
    <w:rsid w:val="421669B9"/>
    <w:rsid w:val="421C1AA6"/>
    <w:rsid w:val="422719FC"/>
    <w:rsid w:val="42272220"/>
    <w:rsid w:val="422802A1"/>
    <w:rsid w:val="4231259B"/>
    <w:rsid w:val="423200FE"/>
    <w:rsid w:val="42324CF1"/>
    <w:rsid w:val="423C1E14"/>
    <w:rsid w:val="42494337"/>
    <w:rsid w:val="4251019C"/>
    <w:rsid w:val="42514F67"/>
    <w:rsid w:val="425D6730"/>
    <w:rsid w:val="426A1713"/>
    <w:rsid w:val="426B4BA6"/>
    <w:rsid w:val="42731BD5"/>
    <w:rsid w:val="427F0378"/>
    <w:rsid w:val="42904660"/>
    <w:rsid w:val="42927051"/>
    <w:rsid w:val="42950EC0"/>
    <w:rsid w:val="42957E50"/>
    <w:rsid w:val="429638E5"/>
    <w:rsid w:val="429F1D21"/>
    <w:rsid w:val="42A523B5"/>
    <w:rsid w:val="42AB3DBB"/>
    <w:rsid w:val="42B36FED"/>
    <w:rsid w:val="42B65415"/>
    <w:rsid w:val="42D567E3"/>
    <w:rsid w:val="42E22C9D"/>
    <w:rsid w:val="43033D94"/>
    <w:rsid w:val="43046F41"/>
    <w:rsid w:val="43061EEA"/>
    <w:rsid w:val="430B5F9C"/>
    <w:rsid w:val="43121503"/>
    <w:rsid w:val="431D3E1C"/>
    <w:rsid w:val="4324260A"/>
    <w:rsid w:val="432875FA"/>
    <w:rsid w:val="433F575D"/>
    <w:rsid w:val="433F6D12"/>
    <w:rsid w:val="4345018B"/>
    <w:rsid w:val="4354778C"/>
    <w:rsid w:val="43571FB3"/>
    <w:rsid w:val="435B7A3F"/>
    <w:rsid w:val="435D4BF4"/>
    <w:rsid w:val="436314FD"/>
    <w:rsid w:val="436A2653"/>
    <w:rsid w:val="4372484F"/>
    <w:rsid w:val="438564FD"/>
    <w:rsid w:val="4392593E"/>
    <w:rsid w:val="43942642"/>
    <w:rsid w:val="4399739D"/>
    <w:rsid w:val="439F3665"/>
    <w:rsid w:val="43A242A5"/>
    <w:rsid w:val="43A3287D"/>
    <w:rsid w:val="43A83B7B"/>
    <w:rsid w:val="43B51978"/>
    <w:rsid w:val="43BA3386"/>
    <w:rsid w:val="43DD24A3"/>
    <w:rsid w:val="43DE544A"/>
    <w:rsid w:val="43DF0D76"/>
    <w:rsid w:val="43E14221"/>
    <w:rsid w:val="43E631F0"/>
    <w:rsid w:val="43E83700"/>
    <w:rsid w:val="43EF4E52"/>
    <w:rsid w:val="44057ED2"/>
    <w:rsid w:val="440A7BFD"/>
    <w:rsid w:val="441460C9"/>
    <w:rsid w:val="44292F5D"/>
    <w:rsid w:val="442C30D7"/>
    <w:rsid w:val="44360D97"/>
    <w:rsid w:val="443A6AF2"/>
    <w:rsid w:val="443B7F96"/>
    <w:rsid w:val="445035E1"/>
    <w:rsid w:val="44667938"/>
    <w:rsid w:val="446947F6"/>
    <w:rsid w:val="44710941"/>
    <w:rsid w:val="4476522B"/>
    <w:rsid w:val="447E6FBD"/>
    <w:rsid w:val="448A63C7"/>
    <w:rsid w:val="44921A8C"/>
    <w:rsid w:val="44964364"/>
    <w:rsid w:val="44A037F7"/>
    <w:rsid w:val="44A42644"/>
    <w:rsid w:val="44A53CF7"/>
    <w:rsid w:val="44AC2B61"/>
    <w:rsid w:val="44B32A50"/>
    <w:rsid w:val="44BA18CE"/>
    <w:rsid w:val="44BA1D78"/>
    <w:rsid w:val="44BB2661"/>
    <w:rsid w:val="44BD41BC"/>
    <w:rsid w:val="44CE635C"/>
    <w:rsid w:val="44D14A34"/>
    <w:rsid w:val="44D53D3E"/>
    <w:rsid w:val="44E50BBC"/>
    <w:rsid w:val="44EB60DB"/>
    <w:rsid w:val="44F164A4"/>
    <w:rsid w:val="44F316AD"/>
    <w:rsid w:val="44F369C3"/>
    <w:rsid w:val="45031E15"/>
    <w:rsid w:val="45050ABD"/>
    <w:rsid w:val="45145841"/>
    <w:rsid w:val="45166BA7"/>
    <w:rsid w:val="451D509F"/>
    <w:rsid w:val="451D67E6"/>
    <w:rsid w:val="452013B1"/>
    <w:rsid w:val="452060B1"/>
    <w:rsid w:val="45241C8D"/>
    <w:rsid w:val="452D275F"/>
    <w:rsid w:val="45444E81"/>
    <w:rsid w:val="45473F31"/>
    <w:rsid w:val="45476D82"/>
    <w:rsid w:val="454D1637"/>
    <w:rsid w:val="45540C8F"/>
    <w:rsid w:val="45564AF7"/>
    <w:rsid w:val="455B673A"/>
    <w:rsid w:val="455F47D4"/>
    <w:rsid w:val="456E7910"/>
    <w:rsid w:val="45726FF7"/>
    <w:rsid w:val="45747B75"/>
    <w:rsid w:val="45747D1A"/>
    <w:rsid w:val="45765E17"/>
    <w:rsid w:val="45860280"/>
    <w:rsid w:val="45881C9C"/>
    <w:rsid w:val="458C6183"/>
    <w:rsid w:val="458F455C"/>
    <w:rsid w:val="45916F88"/>
    <w:rsid w:val="45991390"/>
    <w:rsid w:val="45996795"/>
    <w:rsid w:val="45A07DFE"/>
    <w:rsid w:val="45A60A75"/>
    <w:rsid w:val="45AA06BB"/>
    <w:rsid w:val="45B0444B"/>
    <w:rsid w:val="45B651F9"/>
    <w:rsid w:val="45C36283"/>
    <w:rsid w:val="45C72495"/>
    <w:rsid w:val="45D8338D"/>
    <w:rsid w:val="45DB59B1"/>
    <w:rsid w:val="45F30ED0"/>
    <w:rsid w:val="45F612E5"/>
    <w:rsid w:val="45FB5738"/>
    <w:rsid w:val="46011A5B"/>
    <w:rsid w:val="46061147"/>
    <w:rsid w:val="460A312C"/>
    <w:rsid w:val="46123C63"/>
    <w:rsid w:val="4616314C"/>
    <w:rsid w:val="4627045A"/>
    <w:rsid w:val="46303AFA"/>
    <w:rsid w:val="46371B02"/>
    <w:rsid w:val="463C6E40"/>
    <w:rsid w:val="463E3B5B"/>
    <w:rsid w:val="464736A7"/>
    <w:rsid w:val="464A6BF6"/>
    <w:rsid w:val="464C7160"/>
    <w:rsid w:val="465451A1"/>
    <w:rsid w:val="466A63F4"/>
    <w:rsid w:val="46742539"/>
    <w:rsid w:val="4688008D"/>
    <w:rsid w:val="468B414E"/>
    <w:rsid w:val="468D3990"/>
    <w:rsid w:val="46954941"/>
    <w:rsid w:val="469E207E"/>
    <w:rsid w:val="46A25523"/>
    <w:rsid w:val="46A3199A"/>
    <w:rsid w:val="46A746C9"/>
    <w:rsid w:val="46B37D26"/>
    <w:rsid w:val="46B4250D"/>
    <w:rsid w:val="46C13466"/>
    <w:rsid w:val="46C674AD"/>
    <w:rsid w:val="46D63315"/>
    <w:rsid w:val="46DB40D9"/>
    <w:rsid w:val="46DF3841"/>
    <w:rsid w:val="46E302FB"/>
    <w:rsid w:val="46EA0557"/>
    <w:rsid w:val="46EB5566"/>
    <w:rsid w:val="46F127C2"/>
    <w:rsid w:val="46F51FA7"/>
    <w:rsid w:val="46F57C04"/>
    <w:rsid w:val="471E38A9"/>
    <w:rsid w:val="47211025"/>
    <w:rsid w:val="475332EC"/>
    <w:rsid w:val="475A0CF4"/>
    <w:rsid w:val="47610792"/>
    <w:rsid w:val="47665118"/>
    <w:rsid w:val="476C01E8"/>
    <w:rsid w:val="477361FD"/>
    <w:rsid w:val="4778211A"/>
    <w:rsid w:val="477D3F40"/>
    <w:rsid w:val="47851CF3"/>
    <w:rsid w:val="4785213C"/>
    <w:rsid w:val="47963B0E"/>
    <w:rsid w:val="47A14CBA"/>
    <w:rsid w:val="47AA6BF8"/>
    <w:rsid w:val="47B7241E"/>
    <w:rsid w:val="47C80A5A"/>
    <w:rsid w:val="47CE3EBC"/>
    <w:rsid w:val="47D2012E"/>
    <w:rsid w:val="47DA1D5D"/>
    <w:rsid w:val="47E01708"/>
    <w:rsid w:val="47FD3CCE"/>
    <w:rsid w:val="4807686C"/>
    <w:rsid w:val="480C65A7"/>
    <w:rsid w:val="48117779"/>
    <w:rsid w:val="48170A3E"/>
    <w:rsid w:val="48172CDF"/>
    <w:rsid w:val="481B2D46"/>
    <w:rsid w:val="48214C8B"/>
    <w:rsid w:val="482B4DE9"/>
    <w:rsid w:val="483B5229"/>
    <w:rsid w:val="48522D9B"/>
    <w:rsid w:val="48525C54"/>
    <w:rsid w:val="485853A8"/>
    <w:rsid w:val="4863182B"/>
    <w:rsid w:val="48684EBF"/>
    <w:rsid w:val="486E4D2F"/>
    <w:rsid w:val="486E5F75"/>
    <w:rsid w:val="48706243"/>
    <w:rsid w:val="48756B87"/>
    <w:rsid w:val="487F6B80"/>
    <w:rsid w:val="48811B60"/>
    <w:rsid w:val="488142B5"/>
    <w:rsid w:val="488747E8"/>
    <w:rsid w:val="488A0BBC"/>
    <w:rsid w:val="488D7EE1"/>
    <w:rsid w:val="48904C65"/>
    <w:rsid w:val="48965E2E"/>
    <w:rsid w:val="489C5148"/>
    <w:rsid w:val="48B24F39"/>
    <w:rsid w:val="48B42E36"/>
    <w:rsid w:val="48BC4014"/>
    <w:rsid w:val="48BF0082"/>
    <w:rsid w:val="48C01D91"/>
    <w:rsid w:val="48C76F11"/>
    <w:rsid w:val="48C8558B"/>
    <w:rsid w:val="48CF0E00"/>
    <w:rsid w:val="48D71D0A"/>
    <w:rsid w:val="48DD44F4"/>
    <w:rsid w:val="48E1348E"/>
    <w:rsid w:val="48EF1EDD"/>
    <w:rsid w:val="48F23EC3"/>
    <w:rsid w:val="48FB33A6"/>
    <w:rsid w:val="48FF45E5"/>
    <w:rsid w:val="49037869"/>
    <w:rsid w:val="49061F7A"/>
    <w:rsid w:val="49076647"/>
    <w:rsid w:val="490B66A1"/>
    <w:rsid w:val="49103826"/>
    <w:rsid w:val="49125049"/>
    <w:rsid w:val="49132737"/>
    <w:rsid w:val="491E239B"/>
    <w:rsid w:val="492E1EF3"/>
    <w:rsid w:val="49333711"/>
    <w:rsid w:val="493C42C2"/>
    <w:rsid w:val="493E4C3B"/>
    <w:rsid w:val="49465D69"/>
    <w:rsid w:val="49595843"/>
    <w:rsid w:val="495E1774"/>
    <w:rsid w:val="49652120"/>
    <w:rsid w:val="49676EB3"/>
    <w:rsid w:val="496771F6"/>
    <w:rsid w:val="496A47A8"/>
    <w:rsid w:val="496B4225"/>
    <w:rsid w:val="496E1C42"/>
    <w:rsid w:val="49800751"/>
    <w:rsid w:val="49830ADD"/>
    <w:rsid w:val="498A74CB"/>
    <w:rsid w:val="498C6861"/>
    <w:rsid w:val="498D098A"/>
    <w:rsid w:val="49916941"/>
    <w:rsid w:val="499C26C0"/>
    <w:rsid w:val="499E503D"/>
    <w:rsid w:val="49A70112"/>
    <w:rsid w:val="49AA04A7"/>
    <w:rsid w:val="49AB264B"/>
    <w:rsid w:val="49AC0B35"/>
    <w:rsid w:val="49B85CA4"/>
    <w:rsid w:val="49B933FA"/>
    <w:rsid w:val="49C94D84"/>
    <w:rsid w:val="49CF5B20"/>
    <w:rsid w:val="49D16870"/>
    <w:rsid w:val="49E744AA"/>
    <w:rsid w:val="49EB5BDB"/>
    <w:rsid w:val="49F1494E"/>
    <w:rsid w:val="49FC376A"/>
    <w:rsid w:val="49FC7EC4"/>
    <w:rsid w:val="49FE31A2"/>
    <w:rsid w:val="4A005DCF"/>
    <w:rsid w:val="4A130193"/>
    <w:rsid w:val="4A1A3103"/>
    <w:rsid w:val="4A210576"/>
    <w:rsid w:val="4A2E680C"/>
    <w:rsid w:val="4A3600B8"/>
    <w:rsid w:val="4A467C27"/>
    <w:rsid w:val="4A527C44"/>
    <w:rsid w:val="4A5B2E5F"/>
    <w:rsid w:val="4A5B41D2"/>
    <w:rsid w:val="4A5E1456"/>
    <w:rsid w:val="4A634CA2"/>
    <w:rsid w:val="4A680608"/>
    <w:rsid w:val="4A693E78"/>
    <w:rsid w:val="4A734C6C"/>
    <w:rsid w:val="4A7A10F2"/>
    <w:rsid w:val="4A833673"/>
    <w:rsid w:val="4A835FE1"/>
    <w:rsid w:val="4A8362B5"/>
    <w:rsid w:val="4A880891"/>
    <w:rsid w:val="4A8F4DA6"/>
    <w:rsid w:val="4A944BE4"/>
    <w:rsid w:val="4A9D10D6"/>
    <w:rsid w:val="4AA01A28"/>
    <w:rsid w:val="4AB13C8B"/>
    <w:rsid w:val="4ABC37A6"/>
    <w:rsid w:val="4ABD1AB6"/>
    <w:rsid w:val="4AC251FD"/>
    <w:rsid w:val="4AC40288"/>
    <w:rsid w:val="4AC54311"/>
    <w:rsid w:val="4ACA3FB9"/>
    <w:rsid w:val="4ACE54AE"/>
    <w:rsid w:val="4ADD2A99"/>
    <w:rsid w:val="4ADD44FA"/>
    <w:rsid w:val="4AED1701"/>
    <w:rsid w:val="4AF0456C"/>
    <w:rsid w:val="4AF40D31"/>
    <w:rsid w:val="4AFD48D3"/>
    <w:rsid w:val="4B226A9D"/>
    <w:rsid w:val="4B284B27"/>
    <w:rsid w:val="4B2D413C"/>
    <w:rsid w:val="4B2D61CB"/>
    <w:rsid w:val="4B35748E"/>
    <w:rsid w:val="4B3B5EDE"/>
    <w:rsid w:val="4B4C20C9"/>
    <w:rsid w:val="4B506660"/>
    <w:rsid w:val="4B557C09"/>
    <w:rsid w:val="4B5906BC"/>
    <w:rsid w:val="4B6A6F77"/>
    <w:rsid w:val="4B725B53"/>
    <w:rsid w:val="4B790D09"/>
    <w:rsid w:val="4BA166ED"/>
    <w:rsid w:val="4BA42DF7"/>
    <w:rsid w:val="4BA63A9E"/>
    <w:rsid w:val="4BB075EA"/>
    <w:rsid w:val="4BB95BEE"/>
    <w:rsid w:val="4BC17F99"/>
    <w:rsid w:val="4BCA2208"/>
    <w:rsid w:val="4BD71494"/>
    <w:rsid w:val="4BD86B2D"/>
    <w:rsid w:val="4BDF368B"/>
    <w:rsid w:val="4BED69CE"/>
    <w:rsid w:val="4BF377C8"/>
    <w:rsid w:val="4BFD587C"/>
    <w:rsid w:val="4C052D0E"/>
    <w:rsid w:val="4C150B82"/>
    <w:rsid w:val="4C190515"/>
    <w:rsid w:val="4C1F63F4"/>
    <w:rsid w:val="4C421FCE"/>
    <w:rsid w:val="4C44265F"/>
    <w:rsid w:val="4C4E7369"/>
    <w:rsid w:val="4C5D0C26"/>
    <w:rsid w:val="4C5F1915"/>
    <w:rsid w:val="4C6A733A"/>
    <w:rsid w:val="4C765E99"/>
    <w:rsid w:val="4C7716C7"/>
    <w:rsid w:val="4C7A498A"/>
    <w:rsid w:val="4C7E2DE8"/>
    <w:rsid w:val="4C80153F"/>
    <w:rsid w:val="4C8E4367"/>
    <w:rsid w:val="4C9256F5"/>
    <w:rsid w:val="4C944160"/>
    <w:rsid w:val="4C9A214A"/>
    <w:rsid w:val="4C9A446B"/>
    <w:rsid w:val="4C9E2F44"/>
    <w:rsid w:val="4CA159B3"/>
    <w:rsid w:val="4CA30E07"/>
    <w:rsid w:val="4CA51E0E"/>
    <w:rsid w:val="4CAC7EB4"/>
    <w:rsid w:val="4CB73895"/>
    <w:rsid w:val="4CC506AD"/>
    <w:rsid w:val="4CDB6DB4"/>
    <w:rsid w:val="4CDC57D4"/>
    <w:rsid w:val="4CDD1A38"/>
    <w:rsid w:val="4CE51960"/>
    <w:rsid w:val="4CE814A3"/>
    <w:rsid w:val="4CEC74F5"/>
    <w:rsid w:val="4CED3AA1"/>
    <w:rsid w:val="4CF3173C"/>
    <w:rsid w:val="4CF50A01"/>
    <w:rsid w:val="4CF7166A"/>
    <w:rsid w:val="4CF83A25"/>
    <w:rsid w:val="4D033458"/>
    <w:rsid w:val="4D08748F"/>
    <w:rsid w:val="4D0C3225"/>
    <w:rsid w:val="4D0E59A0"/>
    <w:rsid w:val="4D184733"/>
    <w:rsid w:val="4D1A4FAC"/>
    <w:rsid w:val="4D1F02ED"/>
    <w:rsid w:val="4D31441A"/>
    <w:rsid w:val="4D3209E0"/>
    <w:rsid w:val="4D3F709E"/>
    <w:rsid w:val="4D3F8515"/>
    <w:rsid w:val="4D40102E"/>
    <w:rsid w:val="4D511173"/>
    <w:rsid w:val="4D562128"/>
    <w:rsid w:val="4D5652EA"/>
    <w:rsid w:val="4D5A1972"/>
    <w:rsid w:val="4D5C532B"/>
    <w:rsid w:val="4D5F44B5"/>
    <w:rsid w:val="4D610F52"/>
    <w:rsid w:val="4D6519FC"/>
    <w:rsid w:val="4D794348"/>
    <w:rsid w:val="4D840134"/>
    <w:rsid w:val="4D841768"/>
    <w:rsid w:val="4D8516F4"/>
    <w:rsid w:val="4D924EB8"/>
    <w:rsid w:val="4D930CDF"/>
    <w:rsid w:val="4D934EE4"/>
    <w:rsid w:val="4D9457E9"/>
    <w:rsid w:val="4D9717CD"/>
    <w:rsid w:val="4DA73062"/>
    <w:rsid w:val="4DBF332A"/>
    <w:rsid w:val="4DC16A20"/>
    <w:rsid w:val="4DCE1DD9"/>
    <w:rsid w:val="4DD31062"/>
    <w:rsid w:val="4DDB7105"/>
    <w:rsid w:val="4DE65B85"/>
    <w:rsid w:val="4DE92AFC"/>
    <w:rsid w:val="4DEC5415"/>
    <w:rsid w:val="4DEE5079"/>
    <w:rsid w:val="4DFA0D09"/>
    <w:rsid w:val="4DFA4554"/>
    <w:rsid w:val="4E00122C"/>
    <w:rsid w:val="4E037B64"/>
    <w:rsid w:val="4E341DDE"/>
    <w:rsid w:val="4E4179D4"/>
    <w:rsid w:val="4E427CAF"/>
    <w:rsid w:val="4E4A007B"/>
    <w:rsid w:val="4E554FB6"/>
    <w:rsid w:val="4E5848FF"/>
    <w:rsid w:val="4E5DA092"/>
    <w:rsid w:val="4E680A4D"/>
    <w:rsid w:val="4E7865B4"/>
    <w:rsid w:val="4E8011B5"/>
    <w:rsid w:val="4E822AB0"/>
    <w:rsid w:val="4E8E2223"/>
    <w:rsid w:val="4E8F1D06"/>
    <w:rsid w:val="4E951A34"/>
    <w:rsid w:val="4E9A3CC2"/>
    <w:rsid w:val="4E9F7F45"/>
    <w:rsid w:val="4EB055DA"/>
    <w:rsid w:val="4EB2452C"/>
    <w:rsid w:val="4EB534D4"/>
    <w:rsid w:val="4EC13CD2"/>
    <w:rsid w:val="4EC51245"/>
    <w:rsid w:val="4EC5192F"/>
    <w:rsid w:val="4ECB0FDE"/>
    <w:rsid w:val="4ED42246"/>
    <w:rsid w:val="4ED44417"/>
    <w:rsid w:val="4EDF60B6"/>
    <w:rsid w:val="4EE809F3"/>
    <w:rsid w:val="4EE82BBF"/>
    <w:rsid w:val="4EF15DAA"/>
    <w:rsid w:val="4EF176BE"/>
    <w:rsid w:val="4EF2598A"/>
    <w:rsid w:val="4EF51885"/>
    <w:rsid w:val="4EF67FEB"/>
    <w:rsid w:val="4EFC0D79"/>
    <w:rsid w:val="4F021280"/>
    <w:rsid w:val="4F0438BF"/>
    <w:rsid w:val="4F045EE7"/>
    <w:rsid w:val="4F0C66AA"/>
    <w:rsid w:val="4F0F5482"/>
    <w:rsid w:val="4F1866EB"/>
    <w:rsid w:val="4F1B12AC"/>
    <w:rsid w:val="4F1B4115"/>
    <w:rsid w:val="4F340594"/>
    <w:rsid w:val="4F385DCE"/>
    <w:rsid w:val="4F3A7D5B"/>
    <w:rsid w:val="4F4306EE"/>
    <w:rsid w:val="4F4B6DE5"/>
    <w:rsid w:val="4F5C68F4"/>
    <w:rsid w:val="4F6DEEDB"/>
    <w:rsid w:val="4F727623"/>
    <w:rsid w:val="4F746322"/>
    <w:rsid w:val="4F752893"/>
    <w:rsid w:val="4F7E142B"/>
    <w:rsid w:val="4F7E6C8B"/>
    <w:rsid w:val="4F806FBF"/>
    <w:rsid w:val="4F860B1E"/>
    <w:rsid w:val="4F8627FB"/>
    <w:rsid w:val="4F8A22ED"/>
    <w:rsid w:val="4F8B416B"/>
    <w:rsid w:val="4F8C76DE"/>
    <w:rsid w:val="4F8F7CB2"/>
    <w:rsid w:val="4F90285F"/>
    <w:rsid w:val="4F955161"/>
    <w:rsid w:val="4F9B0A95"/>
    <w:rsid w:val="4F9C12AD"/>
    <w:rsid w:val="4FA074DE"/>
    <w:rsid w:val="4FA27D1D"/>
    <w:rsid w:val="4FA706F5"/>
    <w:rsid w:val="4FB631DF"/>
    <w:rsid w:val="4FB85995"/>
    <w:rsid w:val="4FBDD8E9"/>
    <w:rsid w:val="4FC578ED"/>
    <w:rsid w:val="4FC847D7"/>
    <w:rsid w:val="4FD32E29"/>
    <w:rsid w:val="4FDB1D1E"/>
    <w:rsid w:val="4FE54200"/>
    <w:rsid w:val="4FEC3D66"/>
    <w:rsid w:val="4FEFB1E0"/>
    <w:rsid w:val="4FF542BA"/>
    <w:rsid w:val="4FFA5C04"/>
    <w:rsid w:val="5008122E"/>
    <w:rsid w:val="500974CA"/>
    <w:rsid w:val="5018154A"/>
    <w:rsid w:val="50200822"/>
    <w:rsid w:val="5024539C"/>
    <w:rsid w:val="50304824"/>
    <w:rsid w:val="503133FB"/>
    <w:rsid w:val="503D5C4E"/>
    <w:rsid w:val="50494271"/>
    <w:rsid w:val="504B6D6F"/>
    <w:rsid w:val="504C54C6"/>
    <w:rsid w:val="50511357"/>
    <w:rsid w:val="506B5749"/>
    <w:rsid w:val="50857B77"/>
    <w:rsid w:val="508763CA"/>
    <w:rsid w:val="50925869"/>
    <w:rsid w:val="50983797"/>
    <w:rsid w:val="50A63745"/>
    <w:rsid w:val="50AE6883"/>
    <w:rsid w:val="50B26302"/>
    <w:rsid w:val="50B56939"/>
    <w:rsid w:val="50B72DC6"/>
    <w:rsid w:val="50D60DDB"/>
    <w:rsid w:val="50D81D89"/>
    <w:rsid w:val="50DC21BD"/>
    <w:rsid w:val="50E728FB"/>
    <w:rsid w:val="5107134C"/>
    <w:rsid w:val="51154E40"/>
    <w:rsid w:val="51223019"/>
    <w:rsid w:val="513C1A49"/>
    <w:rsid w:val="513C1F2C"/>
    <w:rsid w:val="51487E03"/>
    <w:rsid w:val="514F5702"/>
    <w:rsid w:val="51624BA2"/>
    <w:rsid w:val="5170129F"/>
    <w:rsid w:val="51750D12"/>
    <w:rsid w:val="51760793"/>
    <w:rsid w:val="518C26DE"/>
    <w:rsid w:val="5199120C"/>
    <w:rsid w:val="519F0CAC"/>
    <w:rsid w:val="519F4348"/>
    <w:rsid w:val="51A352E4"/>
    <w:rsid w:val="51A76DB8"/>
    <w:rsid w:val="51AD6371"/>
    <w:rsid w:val="51B571FE"/>
    <w:rsid w:val="51B75AC1"/>
    <w:rsid w:val="51C034D3"/>
    <w:rsid w:val="51CA052C"/>
    <w:rsid w:val="51CE1F32"/>
    <w:rsid w:val="51D86513"/>
    <w:rsid w:val="51FC48BE"/>
    <w:rsid w:val="520702E0"/>
    <w:rsid w:val="520810CD"/>
    <w:rsid w:val="521F126F"/>
    <w:rsid w:val="521F7519"/>
    <w:rsid w:val="5225048F"/>
    <w:rsid w:val="52271167"/>
    <w:rsid w:val="52284066"/>
    <w:rsid w:val="5234145A"/>
    <w:rsid w:val="5238085D"/>
    <w:rsid w:val="52440CC6"/>
    <w:rsid w:val="524879EF"/>
    <w:rsid w:val="524A41CF"/>
    <w:rsid w:val="52525B8D"/>
    <w:rsid w:val="52525E1C"/>
    <w:rsid w:val="525D1717"/>
    <w:rsid w:val="52651BBA"/>
    <w:rsid w:val="52680669"/>
    <w:rsid w:val="528B461E"/>
    <w:rsid w:val="528D72B7"/>
    <w:rsid w:val="528E431A"/>
    <w:rsid w:val="529A65C0"/>
    <w:rsid w:val="52AF243D"/>
    <w:rsid w:val="52C11A83"/>
    <w:rsid w:val="52C90577"/>
    <w:rsid w:val="52D852B2"/>
    <w:rsid w:val="52DB23F4"/>
    <w:rsid w:val="52DC7C6A"/>
    <w:rsid w:val="52DE2793"/>
    <w:rsid w:val="52F57044"/>
    <w:rsid w:val="530746A9"/>
    <w:rsid w:val="5308475B"/>
    <w:rsid w:val="5315091E"/>
    <w:rsid w:val="53187667"/>
    <w:rsid w:val="531A36E0"/>
    <w:rsid w:val="531B5A2E"/>
    <w:rsid w:val="53207FF0"/>
    <w:rsid w:val="53213711"/>
    <w:rsid w:val="532455DF"/>
    <w:rsid w:val="53263AEB"/>
    <w:rsid w:val="532B17F2"/>
    <w:rsid w:val="532D6372"/>
    <w:rsid w:val="533319E0"/>
    <w:rsid w:val="533F30CD"/>
    <w:rsid w:val="533F4C4A"/>
    <w:rsid w:val="53405749"/>
    <w:rsid w:val="534303F2"/>
    <w:rsid w:val="534A4D7C"/>
    <w:rsid w:val="534E51BF"/>
    <w:rsid w:val="53530C46"/>
    <w:rsid w:val="535702C5"/>
    <w:rsid w:val="536539AD"/>
    <w:rsid w:val="536544BD"/>
    <w:rsid w:val="53690192"/>
    <w:rsid w:val="536D7C0E"/>
    <w:rsid w:val="5382022C"/>
    <w:rsid w:val="539240E8"/>
    <w:rsid w:val="539254DD"/>
    <w:rsid w:val="5392655A"/>
    <w:rsid w:val="53945404"/>
    <w:rsid w:val="539909F3"/>
    <w:rsid w:val="539B1FD4"/>
    <w:rsid w:val="53A277C0"/>
    <w:rsid w:val="53A32E7F"/>
    <w:rsid w:val="53A8013D"/>
    <w:rsid w:val="53AB2803"/>
    <w:rsid w:val="53AD233B"/>
    <w:rsid w:val="53B11AF6"/>
    <w:rsid w:val="53B322C0"/>
    <w:rsid w:val="53BA1EF1"/>
    <w:rsid w:val="53BF6FC6"/>
    <w:rsid w:val="53CE37F3"/>
    <w:rsid w:val="53D35B73"/>
    <w:rsid w:val="53D87322"/>
    <w:rsid w:val="53EE6DDA"/>
    <w:rsid w:val="53F84927"/>
    <w:rsid w:val="53F84CD5"/>
    <w:rsid w:val="53FA6BDD"/>
    <w:rsid w:val="540E1011"/>
    <w:rsid w:val="54172076"/>
    <w:rsid w:val="54204110"/>
    <w:rsid w:val="54222996"/>
    <w:rsid w:val="542A7629"/>
    <w:rsid w:val="542D1300"/>
    <w:rsid w:val="54386840"/>
    <w:rsid w:val="54394229"/>
    <w:rsid w:val="544D11CB"/>
    <w:rsid w:val="546540A0"/>
    <w:rsid w:val="546F3867"/>
    <w:rsid w:val="54733644"/>
    <w:rsid w:val="548B25AF"/>
    <w:rsid w:val="548C05FD"/>
    <w:rsid w:val="54951C06"/>
    <w:rsid w:val="549E2F25"/>
    <w:rsid w:val="549E465A"/>
    <w:rsid w:val="54A65D83"/>
    <w:rsid w:val="54BF068C"/>
    <w:rsid w:val="54CE5121"/>
    <w:rsid w:val="54DC17BB"/>
    <w:rsid w:val="54E60C6F"/>
    <w:rsid w:val="54FE595C"/>
    <w:rsid w:val="55067031"/>
    <w:rsid w:val="55115F9A"/>
    <w:rsid w:val="551B1EB9"/>
    <w:rsid w:val="55256612"/>
    <w:rsid w:val="552E6481"/>
    <w:rsid w:val="553340DE"/>
    <w:rsid w:val="55494121"/>
    <w:rsid w:val="5554383C"/>
    <w:rsid w:val="555C3D4E"/>
    <w:rsid w:val="55613BDE"/>
    <w:rsid w:val="557539D4"/>
    <w:rsid w:val="557C7438"/>
    <w:rsid w:val="55852561"/>
    <w:rsid w:val="55853A64"/>
    <w:rsid w:val="558B6610"/>
    <w:rsid w:val="559D5474"/>
    <w:rsid w:val="55A26462"/>
    <w:rsid w:val="55A346D4"/>
    <w:rsid w:val="55A47F02"/>
    <w:rsid w:val="55A6135D"/>
    <w:rsid w:val="55AE2EF9"/>
    <w:rsid w:val="55AE7998"/>
    <w:rsid w:val="55B06CD9"/>
    <w:rsid w:val="55B63A96"/>
    <w:rsid w:val="55BC3862"/>
    <w:rsid w:val="55BD39BE"/>
    <w:rsid w:val="55CA0429"/>
    <w:rsid w:val="55CB6D1C"/>
    <w:rsid w:val="55D3139B"/>
    <w:rsid w:val="55D365D5"/>
    <w:rsid w:val="55DB1C8D"/>
    <w:rsid w:val="55E12B77"/>
    <w:rsid w:val="55E5638D"/>
    <w:rsid w:val="55EB5320"/>
    <w:rsid w:val="55ED27F9"/>
    <w:rsid w:val="55F14746"/>
    <w:rsid w:val="560B0F98"/>
    <w:rsid w:val="561C4686"/>
    <w:rsid w:val="56254254"/>
    <w:rsid w:val="5636275D"/>
    <w:rsid w:val="56472068"/>
    <w:rsid w:val="564A26D6"/>
    <w:rsid w:val="56516C46"/>
    <w:rsid w:val="565434C6"/>
    <w:rsid w:val="56555C59"/>
    <w:rsid w:val="56582618"/>
    <w:rsid w:val="565A281A"/>
    <w:rsid w:val="566012A9"/>
    <w:rsid w:val="56633556"/>
    <w:rsid w:val="56664982"/>
    <w:rsid w:val="566C2107"/>
    <w:rsid w:val="5674015E"/>
    <w:rsid w:val="56757A58"/>
    <w:rsid w:val="568F0CB1"/>
    <w:rsid w:val="56930334"/>
    <w:rsid w:val="56970D60"/>
    <w:rsid w:val="569D05DB"/>
    <w:rsid w:val="569E29F9"/>
    <w:rsid w:val="56A37E58"/>
    <w:rsid w:val="56A7241F"/>
    <w:rsid w:val="56AC0DF1"/>
    <w:rsid w:val="56B12308"/>
    <w:rsid w:val="56B1395D"/>
    <w:rsid w:val="56BB3AC3"/>
    <w:rsid w:val="56C0178E"/>
    <w:rsid w:val="56C26863"/>
    <w:rsid w:val="56CA60AA"/>
    <w:rsid w:val="56CF6FF5"/>
    <w:rsid w:val="56DF3553"/>
    <w:rsid w:val="56E438E6"/>
    <w:rsid w:val="56E71B04"/>
    <w:rsid w:val="56F15704"/>
    <w:rsid w:val="56FF6715"/>
    <w:rsid w:val="570F5E3B"/>
    <w:rsid w:val="57172ED7"/>
    <w:rsid w:val="571D30EC"/>
    <w:rsid w:val="571F283E"/>
    <w:rsid w:val="572C1860"/>
    <w:rsid w:val="57326F2C"/>
    <w:rsid w:val="57436288"/>
    <w:rsid w:val="57451DF8"/>
    <w:rsid w:val="574A40FC"/>
    <w:rsid w:val="575118F0"/>
    <w:rsid w:val="575A3567"/>
    <w:rsid w:val="576F96CF"/>
    <w:rsid w:val="57745D2C"/>
    <w:rsid w:val="57767263"/>
    <w:rsid w:val="577A3172"/>
    <w:rsid w:val="577D640A"/>
    <w:rsid w:val="57811403"/>
    <w:rsid w:val="57855231"/>
    <w:rsid w:val="578F1FA9"/>
    <w:rsid w:val="579341ED"/>
    <w:rsid w:val="57947FA6"/>
    <w:rsid w:val="57AF0EAA"/>
    <w:rsid w:val="57C47E06"/>
    <w:rsid w:val="57D71416"/>
    <w:rsid w:val="57D904EF"/>
    <w:rsid w:val="57E468F5"/>
    <w:rsid w:val="57E7150D"/>
    <w:rsid w:val="57EA6EE8"/>
    <w:rsid w:val="57F77555"/>
    <w:rsid w:val="57F7C9A3"/>
    <w:rsid w:val="57FF9BB9"/>
    <w:rsid w:val="57FFBFFD"/>
    <w:rsid w:val="58081106"/>
    <w:rsid w:val="58084F76"/>
    <w:rsid w:val="580A5303"/>
    <w:rsid w:val="580D083D"/>
    <w:rsid w:val="581B028C"/>
    <w:rsid w:val="58211829"/>
    <w:rsid w:val="58224EC8"/>
    <w:rsid w:val="58225586"/>
    <w:rsid w:val="58230E86"/>
    <w:rsid w:val="583A580D"/>
    <w:rsid w:val="58430B4E"/>
    <w:rsid w:val="5844593E"/>
    <w:rsid w:val="58451850"/>
    <w:rsid w:val="584A03E5"/>
    <w:rsid w:val="584A122C"/>
    <w:rsid w:val="585C3E1D"/>
    <w:rsid w:val="58615BB3"/>
    <w:rsid w:val="586802E8"/>
    <w:rsid w:val="586D7CF0"/>
    <w:rsid w:val="58760C11"/>
    <w:rsid w:val="588E41C3"/>
    <w:rsid w:val="588F6003"/>
    <w:rsid w:val="5891160B"/>
    <w:rsid w:val="58912A00"/>
    <w:rsid w:val="589D215F"/>
    <w:rsid w:val="589D62C0"/>
    <w:rsid w:val="589F308D"/>
    <w:rsid w:val="58A54FCD"/>
    <w:rsid w:val="58A94CF4"/>
    <w:rsid w:val="58AA607E"/>
    <w:rsid w:val="58AB7FA4"/>
    <w:rsid w:val="58AE3594"/>
    <w:rsid w:val="58B203C7"/>
    <w:rsid w:val="58BA41F6"/>
    <w:rsid w:val="58BE6C75"/>
    <w:rsid w:val="58C0702B"/>
    <w:rsid w:val="58C57C49"/>
    <w:rsid w:val="58C627A0"/>
    <w:rsid w:val="58C771B5"/>
    <w:rsid w:val="58C77FA3"/>
    <w:rsid w:val="58CD7999"/>
    <w:rsid w:val="58DD65A9"/>
    <w:rsid w:val="58E6745A"/>
    <w:rsid w:val="58E76F6C"/>
    <w:rsid w:val="58F24622"/>
    <w:rsid w:val="58F45CBA"/>
    <w:rsid w:val="58F53441"/>
    <w:rsid w:val="58FB7511"/>
    <w:rsid w:val="590040AC"/>
    <w:rsid w:val="590041A4"/>
    <w:rsid w:val="590B192E"/>
    <w:rsid w:val="590E7570"/>
    <w:rsid w:val="59143449"/>
    <w:rsid w:val="591F53B8"/>
    <w:rsid w:val="592A4D0B"/>
    <w:rsid w:val="59334A6A"/>
    <w:rsid w:val="595B6818"/>
    <w:rsid w:val="596374B4"/>
    <w:rsid w:val="5967091B"/>
    <w:rsid w:val="597B1103"/>
    <w:rsid w:val="597F5C9D"/>
    <w:rsid w:val="5992656E"/>
    <w:rsid w:val="599338D2"/>
    <w:rsid w:val="59944874"/>
    <w:rsid w:val="59960643"/>
    <w:rsid w:val="59980835"/>
    <w:rsid w:val="599933AE"/>
    <w:rsid w:val="59A14D3F"/>
    <w:rsid w:val="59A96B57"/>
    <w:rsid w:val="59AC5A0F"/>
    <w:rsid w:val="59AF22EA"/>
    <w:rsid w:val="59B160BF"/>
    <w:rsid w:val="59B64B57"/>
    <w:rsid w:val="59C56616"/>
    <w:rsid w:val="59D07B8E"/>
    <w:rsid w:val="59E65E38"/>
    <w:rsid w:val="59EC5726"/>
    <w:rsid w:val="59F30939"/>
    <w:rsid w:val="59F44026"/>
    <w:rsid w:val="59FA62C4"/>
    <w:rsid w:val="59FB5251"/>
    <w:rsid w:val="5A027BA2"/>
    <w:rsid w:val="5A0433BE"/>
    <w:rsid w:val="5A1A7806"/>
    <w:rsid w:val="5A225FD6"/>
    <w:rsid w:val="5A2317C1"/>
    <w:rsid w:val="5A235A95"/>
    <w:rsid w:val="5A247FF8"/>
    <w:rsid w:val="5A282FAB"/>
    <w:rsid w:val="5A303E1C"/>
    <w:rsid w:val="5A3334D6"/>
    <w:rsid w:val="5A444BDB"/>
    <w:rsid w:val="5A464ED8"/>
    <w:rsid w:val="5A4C1D8E"/>
    <w:rsid w:val="5A560CAB"/>
    <w:rsid w:val="5A607F3C"/>
    <w:rsid w:val="5A611771"/>
    <w:rsid w:val="5A7650D2"/>
    <w:rsid w:val="5A79161A"/>
    <w:rsid w:val="5A7F61CE"/>
    <w:rsid w:val="5A81108A"/>
    <w:rsid w:val="5A812F65"/>
    <w:rsid w:val="5A847319"/>
    <w:rsid w:val="5A8D08F2"/>
    <w:rsid w:val="5A8D6616"/>
    <w:rsid w:val="5A8D6A65"/>
    <w:rsid w:val="5A9979F5"/>
    <w:rsid w:val="5AA26059"/>
    <w:rsid w:val="5AA45BC6"/>
    <w:rsid w:val="5AA74B2C"/>
    <w:rsid w:val="5AAA564A"/>
    <w:rsid w:val="5AB41064"/>
    <w:rsid w:val="5AB55633"/>
    <w:rsid w:val="5ABD0D77"/>
    <w:rsid w:val="5AC035EC"/>
    <w:rsid w:val="5AD42483"/>
    <w:rsid w:val="5ADE7157"/>
    <w:rsid w:val="5AF70BE0"/>
    <w:rsid w:val="5AFD0EA7"/>
    <w:rsid w:val="5AFE0C2A"/>
    <w:rsid w:val="5B006D93"/>
    <w:rsid w:val="5B111786"/>
    <w:rsid w:val="5B11454A"/>
    <w:rsid w:val="5B144F0C"/>
    <w:rsid w:val="5B1A681C"/>
    <w:rsid w:val="5B1E1E53"/>
    <w:rsid w:val="5B2055CB"/>
    <w:rsid w:val="5B2FA69F"/>
    <w:rsid w:val="5B3201F9"/>
    <w:rsid w:val="5B35407A"/>
    <w:rsid w:val="5B3E7A3C"/>
    <w:rsid w:val="5B4976C7"/>
    <w:rsid w:val="5B4C7EBF"/>
    <w:rsid w:val="5B5946FD"/>
    <w:rsid w:val="5B5F01D1"/>
    <w:rsid w:val="5B615ECA"/>
    <w:rsid w:val="5B6360E6"/>
    <w:rsid w:val="5B66030B"/>
    <w:rsid w:val="5B665AFB"/>
    <w:rsid w:val="5B694DC3"/>
    <w:rsid w:val="5B6EFAC4"/>
    <w:rsid w:val="5B735388"/>
    <w:rsid w:val="5B741C43"/>
    <w:rsid w:val="5B75A7BD"/>
    <w:rsid w:val="5B7B1309"/>
    <w:rsid w:val="5B861911"/>
    <w:rsid w:val="5B8C58B9"/>
    <w:rsid w:val="5B9169AF"/>
    <w:rsid w:val="5B99538E"/>
    <w:rsid w:val="5B9B46C2"/>
    <w:rsid w:val="5B9F356F"/>
    <w:rsid w:val="5BA71A7B"/>
    <w:rsid w:val="5BA81292"/>
    <w:rsid w:val="5BB762B7"/>
    <w:rsid w:val="5BB764ED"/>
    <w:rsid w:val="5BBD7B5C"/>
    <w:rsid w:val="5BD472E1"/>
    <w:rsid w:val="5BF74639"/>
    <w:rsid w:val="5BFA2735"/>
    <w:rsid w:val="5BFF351B"/>
    <w:rsid w:val="5C010A12"/>
    <w:rsid w:val="5C0A0624"/>
    <w:rsid w:val="5C0D57E3"/>
    <w:rsid w:val="5C227FE8"/>
    <w:rsid w:val="5C285C2E"/>
    <w:rsid w:val="5C2F7A90"/>
    <w:rsid w:val="5C32043D"/>
    <w:rsid w:val="5C39443B"/>
    <w:rsid w:val="5C3B2A8D"/>
    <w:rsid w:val="5C3C7E15"/>
    <w:rsid w:val="5C424CE6"/>
    <w:rsid w:val="5C484BB0"/>
    <w:rsid w:val="5C547551"/>
    <w:rsid w:val="5C557172"/>
    <w:rsid w:val="5C69555D"/>
    <w:rsid w:val="5C6F6318"/>
    <w:rsid w:val="5C773A01"/>
    <w:rsid w:val="5C783AA9"/>
    <w:rsid w:val="5C801191"/>
    <w:rsid w:val="5C82434A"/>
    <w:rsid w:val="5C840F29"/>
    <w:rsid w:val="5C864A2E"/>
    <w:rsid w:val="5C872E7D"/>
    <w:rsid w:val="5C894A46"/>
    <w:rsid w:val="5C8B3F74"/>
    <w:rsid w:val="5C8C4566"/>
    <w:rsid w:val="5C8C4730"/>
    <w:rsid w:val="5C8C6B5F"/>
    <w:rsid w:val="5C9804B4"/>
    <w:rsid w:val="5CA63898"/>
    <w:rsid w:val="5CAD5645"/>
    <w:rsid w:val="5CB60A82"/>
    <w:rsid w:val="5CB66BDC"/>
    <w:rsid w:val="5CBA0CDC"/>
    <w:rsid w:val="5CD25323"/>
    <w:rsid w:val="5CE7583C"/>
    <w:rsid w:val="5CEB2E52"/>
    <w:rsid w:val="5CED451D"/>
    <w:rsid w:val="5CEE2242"/>
    <w:rsid w:val="5CFD7E95"/>
    <w:rsid w:val="5D027166"/>
    <w:rsid w:val="5D095E28"/>
    <w:rsid w:val="5D0A2850"/>
    <w:rsid w:val="5D110A3C"/>
    <w:rsid w:val="5D132540"/>
    <w:rsid w:val="5D1E3F41"/>
    <w:rsid w:val="5D1F33E3"/>
    <w:rsid w:val="5D220B7B"/>
    <w:rsid w:val="5D2A3A7D"/>
    <w:rsid w:val="5D335F35"/>
    <w:rsid w:val="5D38051F"/>
    <w:rsid w:val="5D383402"/>
    <w:rsid w:val="5D3A05AD"/>
    <w:rsid w:val="5D435A8E"/>
    <w:rsid w:val="5D440EA5"/>
    <w:rsid w:val="5D4429AA"/>
    <w:rsid w:val="5D4D20BD"/>
    <w:rsid w:val="5D4F047A"/>
    <w:rsid w:val="5D501A00"/>
    <w:rsid w:val="5D523ABD"/>
    <w:rsid w:val="5D5850AB"/>
    <w:rsid w:val="5D5A705F"/>
    <w:rsid w:val="5D5B4FC4"/>
    <w:rsid w:val="5D5D5F82"/>
    <w:rsid w:val="5D616B24"/>
    <w:rsid w:val="5D621BB4"/>
    <w:rsid w:val="5D627CEB"/>
    <w:rsid w:val="5D63735D"/>
    <w:rsid w:val="5D6C472F"/>
    <w:rsid w:val="5D764A6E"/>
    <w:rsid w:val="5D897B18"/>
    <w:rsid w:val="5D8A71E8"/>
    <w:rsid w:val="5D8B0D3D"/>
    <w:rsid w:val="5D8D58EC"/>
    <w:rsid w:val="5D9A0F93"/>
    <w:rsid w:val="5D9FFF11"/>
    <w:rsid w:val="5DA11A16"/>
    <w:rsid w:val="5DA14EF9"/>
    <w:rsid w:val="5DA907FC"/>
    <w:rsid w:val="5DAA399E"/>
    <w:rsid w:val="5DAE1709"/>
    <w:rsid w:val="5DB028D5"/>
    <w:rsid w:val="5DB14733"/>
    <w:rsid w:val="5DC53B44"/>
    <w:rsid w:val="5DC66021"/>
    <w:rsid w:val="5DCE07A5"/>
    <w:rsid w:val="5DD61A0D"/>
    <w:rsid w:val="5DDB1F64"/>
    <w:rsid w:val="5DE55827"/>
    <w:rsid w:val="5DE64147"/>
    <w:rsid w:val="5DF5768F"/>
    <w:rsid w:val="5DF637DC"/>
    <w:rsid w:val="5DFFCEA2"/>
    <w:rsid w:val="5DFFD398"/>
    <w:rsid w:val="5DFFDAA9"/>
    <w:rsid w:val="5E0A08B5"/>
    <w:rsid w:val="5E143C42"/>
    <w:rsid w:val="5E1C5979"/>
    <w:rsid w:val="5E1D1BF1"/>
    <w:rsid w:val="5E1F450D"/>
    <w:rsid w:val="5E271D56"/>
    <w:rsid w:val="5E2B2D57"/>
    <w:rsid w:val="5E3208E3"/>
    <w:rsid w:val="5E330F42"/>
    <w:rsid w:val="5E44034E"/>
    <w:rsid w:val="5E476AFD"/>
    <w:rsid w:val="5E5401EF"/>
    <w:rsid w:val="5E57565A"/>
    <w:rsid w:val="5E5E6637"/>
    <w:rsid w:val="5E603A6B"/>
    <w:rsid w:val="5E6741BA"/>
    <w:rsid w:val="5E797BDB"/>
    <w:rsid w:val="5E7B051B"/>
    <w:rsid w:val="5E7B5BE7"/>
    <w:rsid w:val="5E8D7374"/>
    <w:rsid w:val="5EA66A16"/>
    <w:rsid w:val="5EAB3415"/>
    <w:rsid w:val="5EB13589"/>
    <w:rsid w:val="5EC76E1A"/>
    <w:rsid w:val="5EDF3D92"/>
    <w:rsid w:val="5EE66255"/>
    <w:rsid w:val="5EF75D90"/>
    <w:rsid w:val="5EFD0EEF"/>
    <w:rsid w:val="5F0B1E36"/>
    <w:rsid w:val="5F0C201E"/>
    <w:rsid w:val="5F0C20FB"/>
    <w:rsid w:val="5F11367C"/>
    <w:rsid w:val="5F120792"/>
    <w:rsid w:val="5F1736D6"/>
    <w:rsid w:val="5F182D44"/>
    <w:rsid w:val="5F19220B"/>
    <w:rsid w:val="5F20735E"/>
    <w:rsid w:val="5F275DA6"/>
    <w:rsid w:val="5F2A5EAA"/>
    <w:rsid w:val="5F327602"/>
    <w:rsid w:val="5F470753"/>
    <w:rsid w:val="5F4C6F79"/>
    <w:rsid w:val="5F767916"/>
    <w:rsid w:val="5F7F047B"/>
    <w:rsid w:val="5F7F5B2F"/>
    <w:rsid w:val="5F885039"/>
    <w:rsid w:val="5F9D5BED"/>
    <w:rsid w:val="5FA125B1"/>
    <w:rsid w:val="5FA32EEF"/>
    <w:rsid w:val="5FB263CB"/>
    <w:rsid w:val="5FB51B29"/>
    <w:rsid w:val="5FBFFED6"/>
    <w:rsid w:val="5FC35AC6"/>
    <w:rsid w:val="5FCA5AE1"/>
    <w:rsid w:val="5FCE30A3"/>
    <w:rsid w:val="5FD715B4"/>
    <w:rsid w:val="5FDD0261"/>
    <w:rsid w:val="5FDDD2B5"/>
    <w:rsid w:val="5FE7C651"/>
    <w:rsid w:val="5FF7F2A7"/>
    <w:rsid w:val="5FFC61A6"/>
    <w:rsid w:val="5FFD0885"/>
    <w:rsid w:val="60045727"/>
    <w:rsid w:val="600A26EE"/>
    <w:rsid w:val="60166C3D"/>
    <w:rsid w:val="6026348B"/>
    <w:rsid w:val="60282800"/>
    <w:rsid w:val="60357CB3"/>
    <w:rsid w:val="60390CE4"/>
    <w:rsid w:val="603921F8"/>
    <w:rsid w:val="603E4DDC"/>
    <w:rsid w:val="604704BD"/>
    <w:rsid w:val="60473D6E"/>
    <w:rsid w:val="604C7D57"/>
    <w:rsid w:val="60586E2D"/>
    <w:rsid w:val="60687CFB"/>
    <w:rsid w:val="606D751F"/>
    <w:rsid w:val="60772208"/>
    <w:rsid w:val="607F09BF"/>
    <w:rsid w:val="608D3FC9"/>
    <w:rsid w:val="608F25AF"/>
    <w:rsid w:val="6090124C"/>
    <w:rsid w:val="609A2B86"/>
    <w:rsid w:val="609E76C1"/>
    <w:rsid w:val="60B17807"/>
    <w:rsid w:val="60B6461C"/>
    <w:rsid w:val="60BC672D"/>
    <w:rsid w:val="60BD654B"/>
    <w:rsid w:val="60D4388D"/>
    <w:rsid w:val="60D52ED5"/>
    <w:rsid w:val="60DE4F7A"/>
    <w:rsid w:val="60E02ACB"/>
    <w:rsid w:val="60E34E4D"/>
    <w:rsid w:val="60E95753"/>
    <w:rsid w:val="60EC741C"/>
    <w:rsid w:val="60F04388"/>
    <w:rsid w:val="60F22BB5"/>
    <w:rsid w:val="60F30BB6"/>
    <w:rsid w:val="60F60C64"/>
    <w:rsid w:val="610B62E5"/>
    <w:rsid w:val="610E2E8F"/>
    <w:rsid w:val="610E5677"/>
    <w:rsid w:val="61203F39"/>
    <w:rsid w:val="61251799"/>
    <w:rsid w:val="61253CD4"/>
    <w:rsid w:val="61365693"/>
    <w:rsid w:val="613A2EA7"/>
    <w:rsid w:val="613B0A54"/>
    <w:rsid w:val="61456EA0"/>
    <w:rsid w:val="6152738A"/>
    <w:rsid w:val="616E43BD"/>
    <w:rsid w:val="61715D46"/>
    <w:rsid w:val="61746A1F"/>
    <w:rsid w:val="6176616E"/>
    <w:rsid w:val="61804EA3"/>
    <w:rsid w:val="61921B32"/>
    <w:rsid w:val="61A60351"/>
    <w:rsid w:val="61A90A36"/>
    <w:rsid w:val="61AB58CD"/>
    <w:rsid w:val="61BE7717"/>
    <w:rsid w:val="61C00649"/>
    <w:rsid w:val="61C13F7B"/>
    <w:rsid w:val="61C665E4"/>
    <w:rsid w:val="61D0515A"/>
    <w:rsid w:val="61D07906"/>
    <w:rsid w:val="61D73F80"/>
    <w:rsid w:val="61DA7EAB"/>
    <w:rsid w:val="61DE3EA8"/>
    <w:rsid w:val="61E371F4"/>
    <w:rsid w:val="61E51164"/>
    <w:rsid w:val="61E64910"/>
    <w:rsid w:val="61E82E81"/>
    <w:rsid w:val="61ED5376"/>
    <w:rsid w:val="61EF1FC2"/>
    <w:rsid w:val="61FA75A1"/>
    <w:rsid w:val="61FF0518"/>
    <w:rsid w:val="62032152"/>
    <w:rsid w:val="620477B0"/>
    <w:rsid w:val="620B6A16"/>
    <w:rsid w:val="620D05C3"/>
    <w:rsid w:val="621C2FDD"/>
    <w:rsid w:val="6221211D"/>
    <w:rsid w:val="62225EC7"/>
    <w:rsid w:val="623F4C6E"/>
    <w:rsid w:val="624466CA"/>
    <w:rsid w:val="62483E81"/>
    <w:rsid w:val="62565BAB"/>
    <w:rsid w:val="625D37F2"/>
    <w:rsid w:val="626E5F41"/>
    <w:rsid w:val="626F0037"/>
    <w:rsid w:val="627562F5"/>
    <w:rsid w:val="627E0427"/>
    <w:rsid w:val="6285246A"/>
    <w:rsid w:val="62936279"/>
    <w:rsid w:val="62984609"/>
    <w:rsid w:val="629B036E"/>
    <w:rsid w:val="62AA3683"/>
    <w:rsid w:val="62B24C6C"/>
    <w:rsid w:val="62B509DD"/>
    <w:rsid w:val="62B60869"/>
    <w:rsid w:val="62BC1D57"/>
    <w:rsid w:val="62C2674C"/>
    <w:rsid w:val="62C51CB7"/>
    <w:rsid w:val="62CA7C3E"/>
    <w:rsid w:val="62D23FBA"/>
    <w:rsid w:val="62D64B10"/>
    <w:rsid w:val="62E05E9D"/>
    <w:rsid w:val="62E17A7F"/>
    <w:rsid w:val="62E301FB"/>
    <w:rsid w:val="62E34982"/>
    <w:rsid w:val="62EA17A4"/>
    <w:rsid w:val="62EE29F4"/>
    <w:rsid w:val="62F10D7E"/>
    <w:rsid w:val="6301783E"/>
    <w:rsid w:val="63075509"/>
    <w:rsid w:val="6311467A"/>
    <w:rsid w:val="63144094"/>
    <w:rsid w:val="63193935"/>
    <w:rsid w:val="631A6F0A"/>
    <w:rsid w:val="632161B6"/>
    <w:rsid w:val="6322755A"/>
    <w:rsid w:val="63252735"/>
    <w:rsid w:val="63292486"/>
    <w:rsid w:val="632D4220"/>
    <w:rsid w:val="63326728"/>
    <w:rsid w:val="63381C06"/>
    <w:rsid w:val="633A51BE"/>
    <w:rsid w:val="633B0C4E"/>
    <w:rsid w:val="633D2D4A"/>
    <w:rsid w:val="633D434A"/>
    <w:rsid w:val="63442F05"/>
    <w:rsid w:val="63446778"/>
    <w:rsid w:val="637373EF"/>
    <w:rsid w:val="637B2515"/>
    <w:rsid w:val="637B27ED"/>
    <w:rsid w:val="637D67B3"/>
    <w:rsid w:val="63A35262"/>
    <w:rsid w:val="63A64139"/>
    <w:rsid w:val="63B212A3"/>
    <w:rsid w:val="63BA1FC8"/>
    <w:rsid w:val="63BE41F3"/>
    <w:rsid w:val="63CB1B2A"/>
    <w:rsid w:val="63CB78E3"/>
    <w:rsid w:val="63D06032"/>
    <w:rsid w:val="63DF4BE6"/>
    <w:rsid w:val="63EB7D4B"/>
    <w:rsid w:val="63F228A8"/>
    <w:rsid w:val="63F66ECE"/>
    <w:rsid w:val="63FF8EB6"/>
    <w:rsid w:val="6420544A"/>
    <w:rsid w:val="64337071"/>
    <w:rsid w:val="64342303"/>
    <w:rsid w:val="6436249E"/>
    <w:rsid w:val="643C74D4"/>
    <w:rsid w:val="64581165"/>
    <w:rsid w:val="645B62DD"/>
    <w:rsid w:val="64634644"/>
    <w:rsid w:val="647219DC"/>
    <w:rsid w:val="64870163"/>
    <w:rsid w:val="64886318"/>
    <w:rsid w:val="64980A9E"/>
    <w:rsid w:val="649B49EF"/>
    <w:rsid w:val="64A10A2B"/>
    <w:rsid w:val="64AD7EB9"/>
    <w:rsid w:val="64AE31F2"/>
    <w:rsid w:val="64B12930"/>
    <w:rsid w:val="64B40B51"/>
    <w:rsid w:val="64BA4513"/>
    <w:rsid w:val="64BF1951"/>
    <w:rsid w:val="64CD3250"/>
    <w:rsid w:val="64CF0348"/>
    <w:rsid w:val="64D057B3"/>
    <w:rsid w:val="64D06E2A"/>
    <w:rsid w:val="64EB1BC9"/>
    <w:rsid w:val="64ED23BF"/>
    <w:rsid w:val="64F779EE"/>
    <w:rsid w:val="64FF664C"/>
    <w:rsid w:val="65064F6F"/>
    <w:rsid w:val="65076EA8"/>
    <w:rsid w:val="6507726D"/>
    <w:rsid w:val="650A5620"/>
    <w:rsid w:val="651C33F1"/>
    <w:rsid w:val="65290822"/>
    <w:rsid w:val="653276A0"/>
    <w:rsid w:val="654C0368"/>
    <w:rsid w:val="6559C799"/>
    <w:rsid w:val="655E2F7B"/>
    <w:rsid w:val="656235EC"/>
    <w:rsid w:val="656A4541"/>
    <w:rsid w:val="6582313F"/>
    <w:rsid w:val="658259A6"/>
    <w:rsid w:val="658C1AFA"/>
    <w:rsid w:val="658E7F05"/>
    <w:rsid w:val="659B1EED"/>
    <w:rsid w:val="659B7F0D"/>
    <w:rsid w:val="659D00EC"/>
    <w:rsid w:val="65A107A0"/>
    <w:rsid w:val="65A13A93"/>
    <w:rsid w:val="65A371D7"/>
    <w:rsid w:val="65AA9377"/>
    <w:rsid w:val="65AC4ED6"/>
    <w:rsid w:val="65B15222"/>
    <w:rsid w:val="65B349EC"/>
    <w:rsid w:val="65BD79CA"/>
    <w:rsid w:val="65C75151"/>
    <w:rsid w:val="65DC2D1D"/>
    <w:rsid w:val="65FF08EF"/>
    <w:rsid w:val="660326E1"/>
    <w:rsid w:val="660B0746"/>
    <w:rsid w:val="66280A3C"/>
    <w:rsid w:val="662A5B50"/>
    <w:rsid w:val="66351703"/>
    <w:rsid w:val="664875AA"/>
    <w:rsid w:val="664C38BD"/>
    <w:rsid w:val="665E392F"/>
    <w:rsid w:val="665E3EA7"/>
    <w:rsid w:val="6668772A"/>
    <w:rsid w:val="66717392"/>
    <w:rsid w:val="667243F8"/>
    <w:rsid w:val="668E25F4"/>
    <w:rsid w:val="66903B07"/>
    <w:rsid w:val="6698643E"/>
    <w:rsid w:val="66A017E6"/>
    <w:rsid w:val="66A402E3"/>
    <w:rsid w:val="66B839D9"/>
    <w:rsid w:val="66C613EF"/>
    <w:rsid w:val="66C653A5"/>
    <w:rsid w:val="66D1159E"/>
    <w:rsid w:val="66D153C8"/>
    <w:rsid w:val="66D36DC3"/>
    <w:rsid w:val="66D51A54"/>
    <w:rsid w:val="66D76900"/>
    <w:rsid w:val="66D7797B"/>
    <w:rsid w:val="66DB50BA"/>
    <w:rsid w:val="66E02B13"/>
    <w:rsid w:val="66E73802"/>
    <w:rsid w:val="66EC7EBA"/>
    <w:rsid w:val="67047FC5"/>
    <w:rsid w:val="670C45A0"/>
    <w:rsid w:val="671B0116"/>
    <w:rsid w:val="672432AA"/>
    <w:rsid w:val="6729598A"/>
    <w:rsid w:val="67342E9A"/>
    <w:rsid w:val="673964A2"/>
    <w:rsid w:val="67467A2B"/>
    <w:rsid w:val="674F57DD"/>
    <w:rsid w:val="675C26FC"/>
    <w:rsid w:val="675F0BCE"/>
    <w:rsid w:val="675F2727"/>
    <w:rsid w:val="6773774E"/>
    <w:rsid w:val="677B0739"/>
    <w:rsid w:val="677C2F11"/>
    <w:rsid w:val="67823607"/>
    <w:rsid w:val="67883722"/>
    <w:rsid w:val="679D1B76"/>
    <w:rsid w:val="67A60595"/>
    <w:rsid w:val="67A714DC"/>
    <w:rsid w:val="67AA032F"/>
    <w:rsid w:val="67AA288D"/>
    <w:rsid w:val="67AF2B6F"/>
    <w:rsid w:val="67B63BD9"/>
    <w:rsid w:val="67B95BBA"/>
    <w:rsid w:val="67BA3B20"/>
    <w:rsid w:val="67C61898"/>
    <w:rsid w:val="67C76439"/>
    <w:rsid w:val="67C93C64"/>
    <w:rsid w:val="67C96653"/>
    <w:rsid w:val="67CA7B72"/>
    <w:rsid w:val="67CF2256"/>
    <w:rsid w:val="67DB45D7"/>
    <w:rsid w:val="67E31D90"/>
    <w:rsid w:val="67EE4D0D"/>
    <w:rsid w:val="67F73D2B"/>
    <w:rsid w:val="67F90CD4"/>
    <w:rsid w:val="67FE4A5C"/>
    <w:rsid w:val="6820590B"/>
    <w:rsid w:val="682238F0"/>
    <w:rsid w:val="68224EB9"/>
    <w:rsid w:val="68244833"/>
    <w:rsid w:val="682E53EA"/>
    <w:rsid w:val="682F2CCF"/>
    <w:rsid w:val="68321A22"/>
    <w:rsid w:val="683B247B"/>
    <w:rsid w:val="68406540"/>
    <w:rsid w:val="68411FA8"/>
    <w:rsid w:val="68465375"/>
    <w:rsid w:val="684F55FE"/>
    <w:rsid w:val="68507A15"/>
    <w:rsid w:val="6854187B"/>
    <w:rsid w:val="686E25E3"/>
    <w:rsid w:val="686F18E8"/>
    <w:rsid w:val="68711A56"/>
    <w:rsid w:val="6874029D"/>
    <w:rsid w:val="687D7EE6"/>
    <w:rsid w:val="688E45F9"/>
    <w:rsid w:val="68916EA7"/>
    <w:rsid w:val="6896772E"/>
    <w:rsid w:val="689D04DD"/>
    <w:rsid w:val="68B363DB"/>
    <w:rsid w:val="68B43286"/>
    <w:rsid w:val="68B70A0A"/>
    <w:rsid w:val="68BB1B2C"/>
    <w:rsid w:val="68BC25CE"/>
    <w:rsid w:val="68C24F7F"/>
    <w:rsid w:val="68C409E8"/>
    <w:rsid w:val="68CB6628"/>
    <w:rsid w:val="68D34812"/>
    <w:rsid w:val="68D537BF"/>
    <w:rsid w:val="68D60667"/>
    <w:rsid w:val="68E63133"/>
    <w:rsid w:val="68E77B20"/>
    <w:rsid w:val="68EE7DA6"/>
    <w:rsid w:val="68F26D75"/>
    <w:rsid w:val="68F276C7"/>
    <w:rsid w:val="68FC16AF"/>
    <w:rsid w:val="69021AEE"/>
    <w:rsid w:val="690601F4"/>
    <w:rsid w:val="69145014"/>
    <w:rsid w:val="691500FA"/>
    <w:rsid w:val="691B19ED"/>
    <w:rsid w:val="69224097"/>
    <w:rsid w:val="69287367"/>
    <w:rsid w:val="69315B14"/>
    <w:rsid w:val="693B2010"/>
    <w:rsid w:val="693D4FFB"/>
    <w:rsid w:val="693E3B68"/>
    <w:rsid w:val="693F0FD7"/>
    <w:rsid w:val="6961225F"/>
    <w:rsid w:val="69655113"/>
    <w:rsid w:val="69780FB0"/>
    <w:rsid w:val="697A796F"/>
    <w:rsid w:val="697E14B9"/>
    <w:rsid w:val="69892675"/>
    <w:rsid w:val="699120AD"/>
    <w:rsid w:val="69932DF3"/>
    <w:rsid w:val="69A050B4"/>
    <w:rsid w:val="69A57288"/>
    <w:rsid w:val="69A92D0B"/>
    <w:rsid w:val="69B24256"/>
    <w:rsid w:val="69B6218C"/>
    <w:rsid w:val="69C12307"/>
    <w:rsid w:val="69C92551"/>
    <w:rsid w:val="69CC79EC"/>
    <w:rsid w:val="69D53A34"/>
    <w:rsid w:val="69D9144C"/>
    <w:rsid w:val="69DC7504"/>
    <w:rsid w:val="69DD3968"/>
    <w:rsid w:val="69E6066F"/>
    <w:rsid w:val="69E70C68"/>
    <w:rsid w:val="69F37F21"/>
    <w:rsid w:val="69F40252"/>
    <w:rsid w:val="6A022E8F"/>
    <w:rsid w:val="6A05764B"/>
    <w:rsid w:val="6A0D7EAC"/>
    <w:rsid w:val="6A1122DE"/>
    <w:rsid w:val="6A137901"/>
    <w:rsid w:val="6A172F92"/>
    <w:rsid w:val="6A197ABD"/>
    <w:rsid w:val="6A2D3068"/>
    <w:rsid w:val="6A3A71F4"/>
    <w:rsid w:val="6A3F7893"/>
    <w:rsid w:val="6A444521"/>
    <w:rsid w:val="6A4C3F9D"/>
    <w:rsid w:val="6A585FF1"/>
    <w:rsid w:val="6A65030E"/>
    <w:rsid w:val="6A6E0B84"/>
    <w:rsid w:val="6A771266"/>
    <w:rsid w:val="6A8E2D65"/>
    <w:rsid w:val="6A9365CF"/>
    <w:rsid w:val="6A957D0A"/>
    <w:rsid w:val="6AA3101B"/>
    <w:rsid w:val="6AA33806"/>
    <w:rsid w:val="6AA65F70"/>
    <w:rsid w:val="6AAB0D70"/>
    <w:rsid w:val="6AAF7396"/>
    <w:rsid w:val="6AB35E40"/>
    <w:rsid w:val="6AB5302E"/>
    <w:rsid w:val="6AC63593"/>
    <w:rsid w:val="6AC671C5"/>
    <w:rsid w:val="6ACB6C6B"/>
    <w:rsid w:val="6ACF0479"/>
    <w:rsid w:val="6AD14A12"/>
    <w:rsid w:val="6AD30869"/>
    <w:rsid w:val="6AD31314"/>
    <w:rsid w:val="6AD77C3C"/>
    <w:rsid w:val="6ADE1843"/>
    <w:rsid w:val="6AE9762B"/>
    <w:rsid w:val="6AF43044"/>
    <w:rsid w:val="6B006D2E"/>
    <w:rsid w:val="6B024C46"/>
    <w:rsid w:val="6B0A5E3C"/>
    <w:rsid w:val="6B23446C"/>
    <w:rsid w:val="6B2D4116"/>
    <w:rsid w:val="6B331482"/>
    <w:rsid w:val="6B377CD4"/>
    <w:rsid w:val="6B3C246A"/>
    <w:rsid w:val="6B435C37"/>
    <w:rsid w:val="6B47305C"/>
    <w:rsid w:val="6B474E93"/>
    <w:rsid w:val="6B4968EA"/>
    <w:rsid w:val="6B496DD8"/>
    <w:rsid w:val="6B5C4564"/>
    <w:rsid w:val="6B5F3EE0"/>
    <w:rsid w:val="6B6110A5"/>
    <w:rsid w:val="6B6919F0"/>
    <w:rsid w:val="6B6C46E9"/>
    <w:rsid w:val="6B6F0463"/>
    <w:rsid w:val="6B704792"/>
    <w:rsid w:val="6B7F64D5"/>
    <w:rsid w:val="6B880C26"/>
    <w:rsid w:val="6B885C58"/>
    <w:rsid w:val="6B894467"/>
    <w:rsid w:val="6B8F361B"/>
    <w:rsid w:val="6B922CB9"/>
    <w:rsid w:val="6B974D50"/>
    <w:rsid w:val="6BA33A1F"/>
    <w:rsid w:val="6BA93C7E"/>
    <w:rsid w:val="6BB64428"/>
    <w:rsid w:val="6BBBF9D7"/>
    <w:rsid w:val="6BC25874"/>
    <w:rsid w:val="6BCB3486"/>
    <w:rsid w:val="6BCC10C3"/>
    <w:rsid w:val="6BD151DC"/>
    <w:rsid w:val="6BE40019"/>
    <w:rsid w:val="6BEF2184"/>
    <w:rsid w:val="6BF12ED6"/>
    <w:rsid w:val="6BF65ECD"/>
    <w:rsid w:val="6BFB1728"/>
    <w:rsid w:val="6BFC6413"/>
    <w:rsid w:val="6BFD4C0B"/>
    <w:rsid w:val="6C01169F"/>
    <w:rsid w:val="6C0B3944"/>
    <w:rsid w:val="6C0C6FD3"/>
    <w:rsid w:val="6C1565A8"/>
    <w:rsid w:val="6C181678"/>
    <w:rsid w:val="6C1A38FE"/>
    <w:rsid w:val="6C1A4752"/>
    <w:rsid w:val="6C257022"/>
    <w:rsid w:val="6C2B5FB2"/>
    <w:rsid w:val="6C2C3BB9"/>
    <w:rsid w:val="6C3E68CF"/>
    <w:rsid w:val="6C3E7138"/>
    <w:rsid w:val="6C4622DA"/>
    <w:rsid w:val="6C462C37"/>
    <w:rsid w:val="6C482169"/>
    <w:rsid w:val="6C4D2CAA"/>
    <w:rsid w:val="6C526F1A"/>
    <w:rsid w:val="6C53674D"/>
    <w:rsid w:val="6C5B4A19"/>
    <w:rsid w:val="6C5F2C75"/>
    <w:rsid w:val="6C6B590B"/>
    <w:rsid w:val="6C7F06B0"/>
    <w:rsid w:val="6C8421D3"/>
    <w:rsid w:val="6C86222E"/>
    <w:rsid w:val="6C92144B"/>
    <w:rsid w:val="6CA67F1F"/>
    <w:rsid w:val="6CA87312"/>
    <w:rsid w:val="6CB17697"/>
    <w:rsid w:val="6CBC5656"/>
    <w:rsid w:val="6CBD4BA3"/>
    <w:rsid w:val="6CC20CD8"/>
    <w:rsid w:val="6CDB5B8B"/>
    <w:rsid w:val="6CDC03D3"/>
    <w:rsid w:val="6CDD682D"/>
    <w:rsid w:val="6CED37DA"/>
    <w:rsid w:val="6CEF715D"/>
    <w:rsid w:val="6CFB1358"/>
    <w:rsid w:val="6D053392"/>
    <w:rsid w:val="6D101A2A"/>
    <w:rsid w:val="6D1079E8"/>
    <w:rsid w:val="6D1354C8"/>
    <w:rsid w:val="6D210C45"/>
    <w:rsid w:val="6D221DA6"/>
    <w:rsid w:val="6D247F1F"/>
    <w:rsid w:val="6D28037F"/>
    <w:rsid w:val="6D375FDB"/>
    <w:rsid w:val="6D4069AD"/>
    <w:rsid w:val="6D45474C"/>
    <w:rsid w:val="6D456380"/>
    <w:rsid w:val="6D580483"/>
    <w:rsid w:val="6D5920F7"/>
    <w:rsid w:val="6D6E57D9"/>
    <w:rsid w:val="6D7D223B"/>
    <w:rsid w:val="6D8C7F00"/>
    <w:rsid w:val="6D915247"/>
    <w:rsid w:val="6DA244A2"/>
    <w:rsid w:val="6DB135C5"/>
    <w:rsid w:val="6DB4415F"/>
    <w:rsid w:val="6DB6499D"/>
    <w:rsid w:val="6DB7DCCE"/>
    <w:rsid w:val="6DC70EE5"/>
    <w:rsid w:val="6DC816CE"/>
    <w:rsid w:val="6DCA000A"/>
    <w:rsid w:val="6DCA6F29"/>
    <w:rsid w:val="6DDA3147"/>
    <w:rsid w:val="6DDB766E"/>
    <w:rsid w:val="6DDD26C5"/>
    <w:rsid w:val="6DE44EEE"/>
    <w:rsid w:val="6DE5FDC7"/>
    <w:rsid w:val="6DE65D73"/>
    <w:rsid w:val="6DF03A0A"/>
    <w:rsid w:val="6DFF3F36"/>
    <w:rsid w:val="6E050163"/>
    <w:rsid w:val="6E075E33"/>
    <w:rsid w:val="6E0A533D"/>
    <w:rsid w:val="6E131FFF"/>
    <w:rsid w:val="6E166C11"/>
    <w:rsid w:val="6E1871F4"/>
    <w:rsid w:val="6E214225"/>
    <w:rsid w:val="6E23228D"/>
    <w:rsid w:val="6E3963E5"/>
    <w:rsid w:val="6E3F5083"/>
    <w:rsid w:val="6E5029EA"/>
    <w:rsid w:val="6E595139"/>
    <w:rsid w:val="6E5D5501"/>
    <w:rsid w:val="6E641BDE"/>
    <w:rsid w:val="6E665823"/>
    <w:rsid w:val="6E7F42F6"/>
    <w:rsid w:val="6E8F4083"/>
    <w:rsid w:val="6E9851DF"/>
    <w:rsid w:val="6E9C1649"/>
    <w:rsid w:val="6EA700D7"/>
    <w:rsid w:val="6EAF124A"/>
    <w:rsid w:val="6EB27E94"/>
    <w:rsid w:val="6EBC6F82"/>
    <w:rsid w:val="6EBD120D"/>
    <w:rsid w:val="6EC23DFA"/>
    <w:rsid w:val="6EC35126"/>
    <w:rsid w:val="6ECE0FB0"/>
    <w:rsid w:val="6ECF4FE9"/>
    <w:rsid w:val="6ED43242"/>
    <w:rsid w:val="6EDE99F3"/>
    <w:rsid w:val="6EE05E22"/>
    <w:rsid w:val="6EE46ADB"/>
    <w:rsid w:val="6EEC24EF"/>
    <w:rsid w:val="6EF15C7E"/>
    <w:rsid w:val="6EF378C0"/>
    <w:rsid w:val="6F024AE1"/>
    <w:rsid w:val="6F0477C8"/>
    <w:rsid w:val="6F0E06B9"/>
    <w:rsid w:val="6F1612AE"/>
    <w:rsid w:val="6F16155C"/>
    <w:rsid w:val="6F1A7B05"/>
    <w:rsid w:val="6F1FBAE9"/>
    <w:rsid w:val="6F3844DF"/>
    <w:rsid w:val="6F386C3C"/>
    <w:rsid w:val="6F3C5AA6"/>
    <w:rsid w:val="6F3D0C9F"/>
    <w:rsid w:val="6F407577"/>
    <w:rsid w:val="6F4A28DD"/>
    <w:rsid w:val="6F4FA417"/>
    <w:rsid w:val="6F544D6E"/>
    <w:rsid w:val="6F68977D"/>
    <w:rsid w:val="6F695615"/>
    <w:rsid w:val="6F6E1CEC"/>
    <w:rsid w:val="6F6F13F0"/>
    <w:rsid w:val="6F8B70D9"/>
    <w:rsid w:val="6F96478C"/>
    <w:rsid w:val="6FA03C0C"/>
    <w:rsid w:val="6FA20F9A"/>
    <w:rsid w:val="6FAD4DFB"/>
    <w:rsid w:val="6FB30215"/>
    <w:rsid w:val="6FBA33CB"/>
    <w:rsid w:val="6FBD2189"/>
    <w:rsid w:val="6FC069F5"/>
    <w:rsid w:val="6FC112F7"/>
    <w:rsid w:val="6FCC59DD"/>
    <w:rsid w:val="6FD162C3"/>
    <w:rsid w:val="6FD24FD8"/>
    <w:rsid w:val="6FD644EB"/>
    <w:rsid w:val="6FD77363"/>
    <w:rsid w:val="6FD822EB"/>
    <w:rsid w:val="6FF214DD"/>
    <w:rsid w:val="6FF95B3A"/>
    <w:rsid w:val="6FFB9FB1"/>
    <w:rsid w:val="6FFD16C2"/>
    <w:rsid w:val="70060FBB"/>
    <w:rsid w:val="70076209"/>
    <w:rsid w:val="700F56DE"/>
    <w:rsid w:val="701D4FA1"/>
    <w:rsid w:val="702032CA"/>
    <w:rsid w:val="702835A7"/>
    <w:rsid w:val="70394499"/>
    <w:rsid w:val="706540C4"/>
    <w:rsid w:val="706B081C"/>
    <w:rsid w:val="707329A2"/>
    <w:rsid w:val="70741D95"/>
    <w:rsid w:val="70764C7F"/>
    <w:rsid w:val="707C4E96"/>
    <w:rsid w:val="70805F59"/>
    <w:rsid w:val="70812631"/>
    <w:rsid w:val="7082060F"/>
    <w:rsid w:val="708A4B52"/>
    <w:rsid w:val="708E252F"/>
    <w:rsid w:val="70966BC0"/>
    <w:rsid w:val="7099737C"/>
    <w:rsid w:val="709F688A"/>
    <w:rsid w:val="70A101B5"/>
    <w:rsid w:val="70A24FFE"/>
    <w:rsid w:val="70B242CA"/>
    <w:rsid w:val="70B27E1B"/>
    <w:rsid w:val="70BA00FF"/>
    <w:rsid w:val="70C904B6"/>
    <w:rsid w:val="70CD0FE8"/>
    <w:rsid w:val="70D472D8"/>
    <w:rsid w:val="70E702D0"/>
    <w:rsid w:val="70F83E2D"/>
    <w:rsid w:val="70FC30FA"/>
    <w:rsid w:val="70FC40F9"/>
    <w:rsid w:val="70FE0B0A"/>
    <w:rsid w:val="710779F2"/>
    <w:rsid w:val="71117F73"/>
    <w:rsid w:val="713428CE"/>
    <w:rsid w:val="713E6829"/>
    <w:rsid w:val="713F692F"/>
    <w:rsid w:val="71451E88"/>
    <w:rsid w:val="71461F45"/>
    <w:rsid w:val="714A072D"/>
    <w:rsid w:val="714B26D3"/>
    <w:rsid w:val="715F51FC"/>
    <w:rsid w:val="716C67C5"/>
    <w:rsid w:val="71780BDA"/>
    <w:rsid w:val="717A6ED0"/>
    <w:rsid w:val="7184567F"/>
    <w:rsid w:val="718A0772"/>
    <w:rsid w:val="719213ED"/>
    <w:rsid w:val="71925246"/>
    <w:rsid w:val="71975093"/>
    <w:rsid w:val="719E5DF5"/>
    <w:rsid w:val="71A461C4"/>
    <w:rsid w:val="71A548AA"/>
    <w:rsid w:val="71A8756B"/>
    <w:rsid w:val="71AE666F"/>
    <w:rsid w:val="71B26CFF"/>
    <w:rsid w:val="71B47838"/>
    <w:rsid w:val="71BF1B11"/>
    <w:rsid w:val="71C062B4"/>
    <w:rsid w:val="71C50389"/>
    <w:rsid w:val="71C9172A"/>
    <w:rsid w:val="71CC2E6D"/>
    <w:rsid w:val="71CD1F49"/>
    <w:rsid w:val="71D13952"/>
    <w:rsid w:val="71D21030"/>
    <w:rsid w:val="71D33E27"/>
    <w:rsid w:val="71D67569"/>
    <w:rsid w:val="71D77AF0"/>
    <w:rsid w:val="71E30005"/>
    <w:rsid w:val="71E51CFE"/>
    <w:rsid w:val="71F61F02"/>
    <w:rsid w:val="71F64B5A"/>
    <w:rsid w:val="71F808D6"/>
    <w:rsid w:val="71FC1030"/>
    <w:rsid w:val="71FD269E"/>
    <w:rsid w:val="71FF4A7A"/>
    <w:rsid w:val="720964A4"/>
    <w:rsid w:val="72281076"/>
    <w:rsid w:val="722F1F45"/>
    <w:rsid w:val="723D12C0"/>
    <w:rsid w:val="7243080B"/>
    <w:rsid w:val="724F0F17"/>
    <w:rsid w:val="726B7B6E"/>
    <w:rsid w:val="727D3303"/>
    <w:rsid w:val="727F6876"/>
    <w:rsid w:val="72804FA7"/>
    <w:rsid w:val="7286098E"/>
    <w:rsid w:val="728B20DE"/>
    <w:rsid w:val="728F14BC"/>
    <w:rsid w:val="729E3432"/>
    <w:rsid w:val="72A37CD0"/>
    <w:rsid w:val="72A47373"/>
    <w:rsid w:val="72AF5390"/>
    <w:rsid w:val="72AF5CC5"/>
    <w:rsid w:val="72B30775"/>
    <w:rsid w:val="72C5524E"/>
    <w:rsid w:val="72D271C4"/>
    <w:rsid w:val="72E10D8B"/>
    <w:rsid w:val="72E6538A"/>
    <w:rsid w:val="72E90099"/>
    <w:rsid w:val="72EA51D5"/>
    <w:rsid w:val="72EF641A"/>
    <w:rsid w:val="72F012F1"/>
    <w:rsid w:val="73000CEE"/>
    <w:rsid w:val="73012015"/>
    <w:rsid w:val="73022DEF"/>
    <w:rsid w:val="73026629"/>
    <w:rsid w:val="730B3A04"/>
    <w:rsid w:val="730D493A"/>
    <w:rsid w:val="731F237E"/>
    <w:rsid w:val="73207938"/>
    <w:rsid w:val="73257328"/>
    <w:rsid w:val="73296249"/>
    <w:rsid w:val="73372C76"/>
    <w:rsid w:val="73383854"/>
    <w:rsid w:val="733B5353"/>
    <w:rsid w:val="73421E8A"/>
    <w:rsid w:val="73486BFF"/>
    <w:rsid w:val="735C6D86"/>
    <w:rsid w:val="73607DE8"/>
    <w:rsid w:val="73610BF0"/>
    <w:rsid w:val="7364133B"/>
    <w:rsid w:val="73680065"/>
    <w:rsid w:val="736D12BC"/>
    <w:rsid w:val="736D2991"/>
    <w:rsid w:val="738B6A65"/>
    <w:rsid w:val="738D0FB6"/>
    <w:rsid w:val="739F06B1"/>
    <w:rsid w:val="73AB3FC1"/>
    <w:rsid w:val="73AD396D"/>
    <w:rsid w:val="73AE6604"/>
    <w:rsid w:val="73AF3958"/>
    <w:rsid w:val="73B27424"/>
    <w:rsid w:val="73B9608D"/>
    <w:rsid w:val="73BF7AC2"/>
    <w:rsid w:val="73C47CF0"/>
    <w:rsid w:val="73C553A9"/>
    <w:rsid w:val="73CD3A03"/>
    <w:rsid w:val="73D52C9D"/>
    <w:rsid w:val="73D629A9"/>
    <w:rsid w:val="73EA41CE"/>
    <w:rsid w:val="73EB6F60"/>
    <w:rsid w:val="73F64879"/>
    <w:rsid w:val="73FC64E2"/>
    <w:rsid w:val="741B07FE"/>
    <w:rsid w:val="741D2628"/>
    <w:rsid w:val="74203694"/>
    <w:rsid w:val="74250805"/>
    <w:rsid w:val="7425744D"/>
    <w:rsid w:val="742717B9"/>
    <w:rsid w:val="742969D6"/>
    <w:rsid w:val="742B4C2C"/>
    <w:rsid w:val="744220F1"/>
    <w:rsid w:val="74481486"/>
    <w:rsid w:val="745C3D2E"/>
    <w:rsid w:val="74682B38"/>
    <w:rsid w:val="7469222E"/>
    <w:rsid w:val="74883144"/>
    <w:rsid w:val="748D222B"/>
    <w:rsid w:val="74AD5053"/>
    <w:rsid w:val="74B832B1"/>
    <w:rsid w:val="74BA08B5"/>
    <w:rsid w:val="74CC1460"/>
    <w:rsid w:val="74CE2E4E"/>
    <w:rsid w:val="74D233CB"/>
    <w:rsid w:val="74D300BE"/>
    <w:rsid w:val="74D7025D"/>
    <w:rsid w:val="74D7164D"/>
    <w:rsid w:val="74E249F9"/>
    <w:rsid w:val="74EB5F1E"/>
    <w:rsid w:val="74ED4A01"/>
    <w:rsid w:val="74EE1496"/>
    <w:rsid w:val="74EE7746"/>
    <w:rsid w:val="74EF7C16"/>
    <w:rsid w:val="74F55161"/>
    <w:rsid w:val="75033CD4"/>
    <w:rsid w:val="75040B32"/>
    <w:rsid w:val="750B61B7"/>
    <w:rsid w:val="75115BD3"/>
    <w:rsid w:val="75304D72"/>
    <w:rsid w:val="75379833"/>
    <w:rsid w:val="75383E4C"/>
    <w:rsid w:val="754566F7"/>
    <w:rsid w:val="75461E8B"/>
    <w:rsid w:val="754E52B9"/>
    <w:rsid w:val="755139A2"/>
    <w:rsid w:val="755A7A97"/>
    <w:rsid w:val="755E2059"/>
    <w:rsid w:val="75645FDF"/>
    <w:rsid w:val="756469FC"/>
    <w:rsid w:val="756605F2"/>
    <w:rsid w:val="75685F19"/>
    <w:rsid w:val="75691A31"/>
    <w:rsid w:val="756930F4"/>
    <w:rsid w:val="757401CF"/>
    <w:rsid w:val="75756B1C"/>
    <w:rsid w:val="757A0224"/>
    <w:rsid w:val="75823092"/>
    <w:rsid w:val="75835000"/>
    <w:rsid w:val="75866202"/>
    <w:rsid w:val="75885A34"/>
    <w:rsid w:val="75946F64"/>
    <w:rsid w:val="759B0C59"/>
    <w:rsid w:val="75A95F5A"/>
    <w:rsid w:val="75B06567"/>
    <w:rsid w:val="75BE67BB"/>
    <w:rsid w:val="75BF2697"/>
    <w:rsid w:val="75C01DBA"/>
    <w:rsid w:val="75C95155"/>
    <w:rsid w:val="75D3317E"/>
    <w:rsid w:val="75DF0DE9"/>
    <w:rsid w:val="75DF73A0"/>
    <w:rsid w:val="75E43C33"/>
    <w:rsid w:val="75EA1210"/>
    <w:rsid w:val="760641D2"/>
    <w:rsid w:val="760A4C64"/>
    <w:rsid w:val="7612262B"/>
    <w:rsid w:val="761644A9"/>
    <w:rsid w:val="761D6869"/>
    <w:rsid w:val="76202ECF"/>
    <w:rsid w:val="762C5045"/>
    <w:rsid w:val="762E263C"/>
    <w:rsid w:val="763247E8"/>
    <w:rsid w:val="76334110"/>
    <w:rsid w:val="763E32C2"/>
    <w:rsid w:val="76403AB7"/>
    <w:rsid w:val="76512276"/>
    <w:rsid w:val="76552F80"/>
    <w:rsid w:val="7665731E"/>
    <w:rsid w:val="766713A6"/>
    <w:rsid w:val="76674BB6"/>
    <w:rsid w:val="767177F1"/>
    <w:rsid w:val="76720E33"/>
    <w:rsid w:val="768C7E47"/>
    <w:rsid w:val="768F165D"/>
    <w:rsid w:val="769258F8"/>
    <w:rsid w:val="769B5AAF"/>
    <w:rsid w:val="76A30307"/>
    <w:rsid w:val="76A55AC8"/>
    <w:rsid w:val="76A913BA"/>
    <w:rsid w:val="76BB764F"/>
    <w:rsid w:val="76BBC2B2"/>
    <w:rsid w:val="76CF181C"/>
    <w:rsid w:val="76DB930F"/>
    <w:rsid w:val="76E73687"/>
    <w:rsid w:val="76E8015D"/>
    <w:rsid w:val="76E934EC"/>
    <w:rsid w:val="76F77B45"/>
    <w:rsid w:val="76FDE3A4"/>
    <w:rsid w:val="76FFCA3B"/>
    <w:rsid w:val="77020D7F"/>
    <w:rsid w:val="77082159"/>
    <w:rsid w:val="77124262"/>
    <w:rsid w:val="771CAAC1"/>
    <w:rsid w:val="771E5550"/>
    <w:rsid w:val="772B58B2"/>
    <w:rsid w:val="772C4F01"/>
    <w:rsid w:val="773071E2"/>
    <w:rsid w:val="7735423E"/>
    <w:rsid w:val="77373174"/>
    <w:rsid w:val="773A2384"/>
    <w:rsid w:val="776F1F73"/>
    <w:rsid w:val="77872355"/>
    <w:rsid w:val="779469F7"/>
    <w:rsid w:val="779C4076"/>
    <w:rsid w:val="779C5D5C"/>
    <w:rsid w:val="77A411C1"/>
    <w:rsid w:val="77A452B8"/>
    <w:rsid w:val="77A54654"/>
    <w:rsid w:val="77B10AE3"/>
    <w:rsid w:val="77B21C07"/>
    <w:rsid w:val="77B26500"/>
    <w:rsid w:val="77B552BD"/>
    <w:rsid w:val="77BA0136"/>
    <w:rsid w:val="77D4464C"/>
    <w:rsid w:val="77DF117F"/>
    <w:rsid w:val="77DF2205"/>
    <w:rsid w:val="77DF7D38"/>
    <w:rsid w:val="77E22525"/>
    <w:rsid w:val="77EB07DE"/>
    <w:rsid w:val="77EFD8B8"/>
    <w:rsid w:val="77F31AFD"/>
    <w:rsid w:val="77F65530"/>
    <w:rsid w:val="77F8E3C4"/>
    <w:rsid w:val="77F92BAE"/>
    <w:rsid w:val="77FBE965"/>
    <w:rsid w:val="77FD44B6"/>
    <w:rsid w:val="77FEB455"/>
    <w:rsid w:val="77FFE616"/>
    <w:rsid w:val="780364F1"/>
    <w:rsid w:val="78071499"/>
    <w:rsid w:val="780E4279"/>
    <w:rsid w:val="78164F1E"/>
    <w:rsid w:val="781D08D8"/>
    <w:rsid w:val="78221287"/>
    <w:rsid w:val="782751B4"/>
    <w:rsid w:val="782D5477"/>
    <w:rsid w:val="78362761"/>
    <w:rsid w:val="783C56F9"/>
    <w:rsid w:val="7842128A"/>
    <w:rsid w:val="784E16EC"/>
    <w:rsid w:val="78566ED8"/>
    <w:rsid w:val="785A0493"/>
    <w:rsid w:val="785F68DB"/>
    <w:rsid w:val="786447AE"/>
    <w:rsid w:val="786D6406"/>
    <w:rsid w:val="78703067"/>
    <w:rsid w:val="787B63C5"/>
    <w:rsid w:val="788959DB"/>
    <w:rsid w:val="78917AC7"/>
    <w:rsid w:val="789F20D6"/>
    <w:rsid w:val="78A4163A"/>
    <w:rsid w:val="78B40976"/>
    <w:rsid w:val="78B824BA"/>
    <w:rsid w:val="78B950FD"/>
    <w:rsid w:val="78C83D9C"/>
    <w:rsid w:val="78CB5726"/>
    <w:rsid w:val="78D16F31"/>
    <w:rsid w:val="78D33909"/>
    <w:rsid w:val="78D93E55"/>
    <w:rsid w:val="78DF2DBB"/>
    <w:rsid w:val="78E34454"/>
    <w:rsid w:val="78E428E6"/>
    <w:rsid w:val="78E75017"/>
    <w:rsid w:val="78E857AE"/>
    <w:rsid w:val="78EF676A"/>
    <w:rsid w:val="78F5475C"/>
    <w:rsid w:val="78F64C9B"/>
    <w:rsid w:val="78F93821"/>
    <w:rsid w:val="79053F01"/>
    <w:rsid w:val="79190A97"/>
    <w:rsid w:val="791F7EEF"/>
    <w:rsid w:val="79213BCF"/>
    <w:rsid w:val="792972FA"/>
    <w:rsid w:val="792B6947"/>
    <w:rsid w:val="79317D72"/>
    <w:rsid w:val="7936108F"/>
    <w:rsid w:val="793D122C"/>
    <w:rsid w:val="794013D4"/>
    <w:rsid w:val="794B6A68"/>
    <w:rsid w:val="795804B5"/>
    <w:rsid w:val="79586F3F"/>
    <w:rsid w:val="79646377"/>
    <w:rsid w:val="79713DD5"/>
    <w:rsid w:val="797B3294"/>
    <w:rsid w:val="79815A78"/>
    <w:rsid w:val="798E427D"/>
    <w:rsid w:val="79927877"/>
    <w:rsid w:val="799E3833"/>
    <w:rsid w:val="79A031AB"/>
    <w:rsid w:val="79A6706A"/>
    <w:rsid w:val="79AF375A"/>
    <w:rsid w:val="79B4427E"/>
    <w:rsid w:val="79B80D87"/>
    <w:rsid w:val="79BE15D0"/>
    <w:rsid w:val="79BE66EC"/>
    <w:rsid w:val="79C3317E"/>
    <w:rsid w:val="79C46B91"/>
    <w:rsid w:val="79CA2E02"/>
    <w:rsid w:val="79E76BB1"/>
    <w:rsid w:val="79F46A6F"/>
    <w:rsid w:val="79F82B07"/>
    <w:rsid w:val="7A003668"/>
    <w:rsid w:val="7A03124C"/>
    <w:rsid w:val="7A044B4A"/>
    <w:rsid w:val="7A057288"/>
    <w:rsid w:val="7A0B48C0"/>
    <w:rsid w:val="7A0C2678"/>
    <w:rsid w:val="7A0F504C"/>
    <w:rsid w:val="7A0F7683"/>
    <w:rsid w:val="7A100942"/>
    <w:rsid w:val="7A242798"/>
    <w:rsid w:val="7A247662"/>
    <w:rsid w:val="7A263A07"/>
    <w:rsid w:val="7A306137"/>
    <w:rsid w:val="7A3C5082"/>
    <w:rsid w:val="7A454EAE"/>
    <w:rsid w:val="7A4D58FB"/>
    <w:rsid w:val="7A5732F7"/>
    <w:rsid w:val="7A595178"/>
    <w:rsid w:val="7A60035E"/>
    <w:rsid w:val="7A6D35B6"/>
    <w:rsid w:val="7A6E5648"/>
    <w:rsid w:val="7A6F19CD"/>
    <w:rsid w:val="7A6F234C"/>
    <w:rsid w:val="7A7A707E"/>
    <w:rsid w:val="7A7E1484"/>
    <w:rsid w:val="7A815EC2"/>
    <w:rsid w:val="7A846B4E"/>
    <w:rsid w:val="7A9B0C98"/>
    <w:rsid w:val="7A9D2849"/>
    <w:rsid w:val="7AA35252"/>
    <w:rsid w:val="7AA52A37"/>
    <w:rsid w:val="7AAD5116"/>
    <w:rsid w:val="7AAF4412"/>
    <w:rsid w:val="7AB10813"/>
    <w:rsid w:val="7AB65F21"/>
    <w:rsid w:val="7AB9762A"/>
    <w:rsid w:val="7AC64EAB"/>
    <w:rsid w:val="7AD209EB"/>
    <w:rsid w:val="7AD71202"/>
    <w:rsid w:val="7AE51E60"/>
    <w:rsid w:val="7AEA3522"/>
    <w:rsid w:val="7AF32115"/>
    <w:rsid w:val="7AF403B6"/>
    <w:rsid w:val="7AF65E87"/>
    <w:rsid w:val="7AFF6D3E"/>
    <w:rsid w:val="7B0177B6"/>
    <w:rsid w:val="7B1319ED"/>
    <w:rsid w:val="7B1631B5"/>
    <w:rsid w:val="7B25604C"/>
    <w:rsid w:val="7B2630BC"/>
    <w:rsid w:val="7B305F32"/>
    <w:rsid w:val="7B3439CF"/>
    <w:rsid w:val="7B346CFF"/>
    <w:rsid w:val="7B3A05DA"/>
    <w:rsid w:val="7B3B008E"/>
    <w:rsid w:val="7B3C59EB"/>
    <w:rsid w:val="7B411519"/>
    <w:rsid w:val="7B447FFB"/>
    <w:rsid w:val="7B506E48"/>
    <w:rsid w:val="7B551243"/>
    <w:rsid w:val="7B59476F"/>
    <w:rsid w:val="7B5A35F1"/>
    <w:rsid w:val="7B602072"/>
    <w:rsid w:val="7B604C63"/>
    <w:rsid w:val="7B647049"/>
    <w:rsid w:val="7B70578C"/>
    <w:rsid w:val="7B717123"/>
    <w:rsid w:val="7B727B0E"/>
    <w:rsid w:val="7B784E3E"/>
    <w:rsid w:val="7B7F307E"/>
    <w:rsid w:val="7B832239"/>
    <w:rsid w:val="7B883396"/>
    <w:rsid w:val="7B8C69A0"/>
    <w:rsid w:val="7B8F3023"/>
    <w:rsid w:val="7B9A7F57"/>
    <w:rsid w:val="7B9D0628"/>
    <w:rsid w:val="7BA17983"/>
    <w:rsid w:val="7BA25293"/>
    <w:rsid w:val="7BAD6C94"/>
    <w:rsid w:val="7BB47B48"/>
    <w:rsid w:val="7BC33845"/>
    <w:rsid w:val="7BC7294C"/>
    <w:rsid w:val="7BD27C6C"/>
    <w:rsid w:val="7BDFA97A"/>
    <w:rsid w:val="7BE7FBC3"/>
    <w:rsid w:val="7BF1384F"/>
    <w:rsid w:val="7BF5BC52"/>
    <w:rsid w:val="7BF7ADB5"/>
    <w:rsid w:val="7BFA5AB4"/>
    <w:rsid w:val="7BFB734D"/>
    <w:rsid w:val="7BFE5C31"/>
    <w:rsid w:val="7BFF2110"/>
    <w:rsid w:val="7BFF5189"/>
    <w:rsid w:val="7BFF9D79"/>
    <w:rsid w:val="7C017251"/>
    <w:rsid w:val="7C0E1BD9"/>
    <w:rsid w:val="7C1447A2"/>
    <w:rsid w:val="7C144B75"/>
    <w:rsid w:val="7C155AD9"/>
    <w:rsid w:val="7C1E5139"/>
    <w:rsid w:val="7C2226D7"/>
    <w:rsid w:val="7C2616C3"/>
    <w:rsid w:val="7C2B6B85"/>
    <w:rsid w:val="7C2D793E"/>
    <w:rsid w:val="7C340010"/>
    <w:rsid w:val="7C36445E"/>
    <w:rsid w:val="7C430E4E"/>
    <w:rsid w:val="7C4476AD"/>
    <w:rsid w:val="7C45463E"/>
    <w:rsid w:val="7C501650"/>
    <w:rsid w:val="7C5A70C8"/>
    <w:rsid w:val="7C6573B2"/>
    <w:rsid w:val="7C664805"/>
    <w:rsid w:val="7C667D66"/>
    <w:rsid w:val="7C6A6B31"/>
    <w:rsid w:val="7C703C1B"/>
    <w:rsid w:val="7C840A05"/>
    <w:rsid w:val="7C8A402A"/>
    <w:rsid w:val="7C903F11"/>
    <w:rsid w:val="7C9E18F8"/>
    <w:rsid w:val="7CA01D50"/>
    <w:rsid w:val="7CBA515F"/>
    <w:rsid w:val="7CC07B0C"/>
    <w:rsid w:val="7CC43188"/>
    <w:rsid w:val="7CCD7997"/>
    <w:rsid w:val="7CE905F1"/>
    <w:rsid w:val="7CE92B27"/>
    <w:rsid w:val="7CE961F9"/>
    <w:rsid w:val="7CEA0137"/>
    <w:rsid w:val="7CF37023"/>
    <w:rsid w:val="7CF90815"/>
    <w:rsid w:val="7CF9371F"/>
    <w:rsid w:val="7CFA2A69"/>
    <w:rsid w:val="7CFB1883"/>
    <w:rsid w:val="7CFC095F"/>
    <w:rsid w:val="7CFF4C36"/>
    <w:rsid w:val="7D063D83"/>
    <w:rsid w:val="7D07315A"/>
    <w:rsid w:val="7D183496"/>
    <w:rsid w:val="7D317915"/>
    <w:rsid w:val="7D32101D"/>
    <w:rsid w:val="7D4656F7"/>
    <w:rsid w:val="7D522F2F"/>
    <w:rsid w:val="7D576238"/>
    <w:rsid w:val="7D5D3F2B"/>
    <w:rsid w:val="7D6150E3"/>
    <w:rsid w:val="7D694D06"/>
    <w:rsid w:val="7D6A503D"/>
    <w:rsid w:val="7D6C5226"/>
    <w:rsid w:val="7D7029C5"/>
    <w:rsid w:val="7D704E5C"/>
    <w:rsid w:val="7D7054E7"/>
    <w:rsid w:val="7D711B45"/>
    <w:rsid w:val="7D755AD9"/>
    <w:rsid w:val="7D774062"/>
    <w:rsid w:val="7D79648A"/>
    <w:rsid w:val="7D7B4132"/>
    <w:rsid w:val="7D7DEEE7"/>
    <w:rsid w:val="7D830188"/>
    <w:rsid w:val="7D836B46"/>
    <w:rsid w:val="7D840357"/>
    <w:rsid w:val="7D862884"/>
    <w:rsid w:val="7D877182"/>
    <w:rsid w:val="7D891584"/>
    <w:rsid w:val="7D985ABE"/>
    <w:rsid w:val="7D992A7F"/>
    <w:rsid w:val="7D9A562D"/>
    <w:rsid w:val="7D9D16B1"/>
    <w:rsid w:val="7D9D196E"/>
    <w:rsid w:val="7DA6269C"/>
    <w:rsid w:val="7DA63936"/>
    <w:rsid w:val="7DA6558A"/>
    <w:rsid w:val="7DC7FEE8"/>
    <w:rsid w:val="7DC923E7"/>
    <w:rsid w:val="7DC93DB4"/>
    <w:rsid w:val="7DCB1F98"/>
    <w:rsid w:val="7DCD3271"/>
    <w:rsid w:val="7DD132CA"/>
    <w:rsid w:val="7DD62A8C"/>
    <w:rsid w:val="7DDB431E"/>
    <w:rsid w:val="7DDB7CAD"/>
    <w:rsid w:val="7DDBAA73"/>
    <w:rsid w:val="7DDF2F52"/>
    <w:rsid w:val="7DDF4358"/>
    <w:rsid w:val="7DFA0AB0"/>
    <w:rsid w:val="7E0641DD"/>
    <w:rsid w:val="7E145E67"/>
    <w:rsid w:val="7E21126E"/>
    <w:rsid w:val="7E26120F"/>
    <w:rsid w:val="7E3C72E0"/>
    <w:rsid w:val="7E3E2885"/>
    <w:rsid w:val="7E67579A"/>
    <w:rsid w:val="7E6E728B"/>
    <w:rsid w:val="7E711307"/>
    <w:rsid w:val="7E776B66"/>
    <w:rsid w:val="7E787B1A"/>
    <w:rsid w:val="7E7B5ACE"/>
    <w:rsid w:val="7E8161B4"/>
    <w:rsid w:val="7E8D6E52"/>
    <w:rsid w:val="7E924469"/>
    <w:rsid w:val="7E9D7C8A"/>
    <w:rsid w:val="7EA25065"/>
    <w:rsid w:val="7EA74393"/>
    <w:rsid w:val="7EAC571B"/>
    <w:rsid w:val="7EAD6CF4"/>
    <w:rsid w:val="7EB33479"/>
    <w:rsid w:val="7EB65D51"/>
    <w:rsid w:val="7EBB207D"/>
    <w:rsid w:val="7EBE76D5"/>
    <w:rsid w:val="7EBF4D11"/>
    <w:rsid w:val="7EC160E4"/>
    <w:rsid w:val="7EC2618A"/>
    <w:rsid w:val="7EC81E56"/>
    <w:rsid w:val="7ECD109D"/>
    <w:rsid w:val="7ED66588"/>
    <w:rsid w:val="7ED95BF4"/>
    <w:rsid w:val="7EDC01CC"/>
    <w:rsid w:val="7EDC0B11"/>
    <w:rsid w:val="7EDC3594"/>
    <w:rsid w:val="7EDED676"/>
    <w:rsid w:val="7EF32BD1"/>
    <w:rsid w:val="7EFA24EC"/>
    <w:rsid w:val="7F051605"/>
    <w:rsid w:val="7F072A73"/>
    <w:rsid w:val="7F140FC4"/>
    <w:rsid w:val="7F14365B"/>
    <w:rsid w:val="7F2857F0"/>
    <w:rsid w:val="7F2E2EA3"/>
    <w:rsid w:val="7F342F55"/>
    <w:rsid w:val="7F377832"/>
    <w:rsid w:val="7F41542D"/>
    <w:rsid w:val="7F43833B"/>
    <w:rsid w:val="7F4FE568"/>
    <w:rsid w:val="7F502413"/>
    <w:rsid w:val="7F534940"/>
    <w:rsid w:val="7F563F06"/>
    <w:rsid w:val="7F78613A"/>
    <w:rsid w:val="7F7ED457"/>
    <w:rsid w:val="7F8101BD"/>
    <w:rsid w:val="7F8F6BFA"/>
    <w:rsid w:val="7FA209FE"/>
    <w:rsid w:val="7FAA2F3B"/>
    <w:rsid w:val="7FAC4AB2"/>
    <w:rsid w:val="7FB46AA5"/>
    <w:rsid w:val="7FBE3B60"/>
    <w:rsid w:val="7FBF251B"/>
    <w:rsid w:val="7FCEA936"/>
    <w:rsid w:val="7FCF9604"/>
    <w:rsid w:val="7FD3FF5C"/>
    <w:rsid w:val="7FD63730"/>
    <w:rsid w:val="7FD954C2"/>
    <w:rsid w:val="7FDB2332"/>
    <w:rsid w:val="7FDE4884"/>
    <w:rsid w:val="7FE72DCD"/>
    <w:rsid w:val="7FE9972C"/>
    <w:rsid w:val="7FEABC0E"/>
    <w:rsid w:val="7FF0D785"/>
    <w:rsid w:val="7FF24C4F"/>
    <w:rsid w:val="7FF55B52"/>
    <w:rsid w:val="7FFBC269"/>
    <w:rsid w:val="7FFD4DC0"/>
    <w:rsid w:val="7FFDADBC"/>
    <w:rsid w:val="7FFE910B"/>
    <w:rsid w:val="7FFF6FB8"/>
    <w:rsid w:val="7FFF88B0"/>
    <w:rsid w:val="837383E2"/>
    <w:rsid w:val="8D4EB520"/>
    <w:rsid w:val="91BE39D7"/>
    <w:rsid w:val="93DE3871"/>
    <w:rsid w:val="96D963AA"/>
    <w:rsid w:val="9B7FFD2D"/>
    <w:rsid w:val="9BB691A5"/>
    <w:rsid w:val="9E3FB637"/>
    <w:rsid w:val="9EF74F99"/>
    <w:rsid w:val="9F7F6725"/>
    <w:rsid w:val="A59B309A"/>
    <w:rsid w:val="A79EBCA7"/>
    <w:rsid w:val="AF677EC8"/>
    <w:rsid w:val="B0D8E353"/>
    <w:rsid w:val="B2FF002A"/>
    <w:rsid w:val="B3D31F19"/>
    <w:rsid w:val="B47857D2"/>
    <w:rsid w:val="B7DF76A2"/>
    <w:rsid w:val="B8E78711"/>
    <w:rsid w:val="B9FE5CA7"/>
    <w:rsid w:val="BAAF4D62"/>
    <w:rsid w:val="BB67B422"/>
    <w:rsid w:val="BBB7AE03"/>
    <w:rsid w:val="BBD69DDB"/>
    <w:rsid w:val="BDFBF357"/>
    <w:rsid w:val="BEAD62E6"/>
    <w:rsid w:val="BEFF7671"/>
    <w:rsid w:val="BF7ED2CF"/>
    <w:rsid w:val="BF7F34B0"/>
    <w:rsid w:val="BF9DC39A"/>
    <w:rsid w:val="BFBB5C16"/>
    <w:rsid w:val="BFBEAA79"/>
    <w:rsid w:val="BFFF521F"/>
    <w:rsid w:val="BFFF7C2B"/>
    <w:rsid w:val="C1FCB682"/>
    <w:rsid w:val="C597B756"/>
    <w:rsid w:val="CDDF2675"/>
    <w:rsid w:val="CF77A7A9"/>
    <w:rsid w:val="CFFFFE06"/>
    <w:rsid w:val="D37FA674"/>
    <w:rsid w:val="D3B37226"/>
    <w:rsid w:val="D3EF0D8B"/>
    <w:rsid w:val="D6EE159A"/>
    <w:rsid w:val="D77E87ED"/>
    <w:rsid w:val="D7FBBB0E"/>
    <w:rsid w:val="D9ED22D8"/>
    <w:rsid w:val="DAEF5CC6"/>
    <w:rsid w:val="DBBA4890"/>
    <w:rsid w:val="DBDFC790"/>
    <w:rsid w:val="DBFBADAE"/>
    <w:rsid w:val="DC97E615"/>
    <w:rsid w:val="DDFD8BDF"/>
    <w:rsid w:val="DE3BBD32"/>
    <w:rsid w:val="DFDE36AF"/>
    <w:rsid w:val="DFE90AA5"/>
    <w:rsid w:val="DFFA3C17"/>
    <w:rsid w:val="DFFF20AF"/>
    <w:rsid w:val="E5FA52D4"/>
    <w:rsid w:val="E6FC118A"/>
    <w:rsid w:val="E7AD9A33"/>
    <w:rsid w:val="E7FFB444"/>
    <w:rsid w:val="EAFDED09"/>
    <w:rsid w:val="EB875994"/>
    <w:rsid w:val="EBBF6970"/>
    <w:rsid w:val="EBF75398"/>
    <w:rsid w:val="ED5F1720"/>
    <w:rsid w:val="EDFF0208"/>
    <w:rsid w:val="EDFF920A"/>
    <w:rsid w:val="EF24F4E2"/>
    <w:rsid w:val="EF77E851"/>
    <w:rsid w:val="EFBE6EE4"/>
    <w:rsid w:val="EFDF8FD3"/>
    <w:rsid w:val="EFF61433"/>
    <w:rsid w:val="F05AEB27"/>
    <w:rsid w:val="F1F9811D"/>
    <w:rsid w:val="F3578611"/>
    <w:rsid w:val="F66B6651"/>
    <w:rsid w:val="F6778447"/>
    <w:rsid w:val="F6FFA562"/>
    <w:rsid w:val="F77699E0"/>
    <w:rsid w:val="F777B830"/>
    <w:rsid w:val="F7B7151F"/>
    <w:rsid w:val="F7DF82AE"/>
    <w:rsid w:val="F7DFB5EB"/>
    <w:rsid w:val="F7FDE0FE"/>
    <w:rsid w:val="F7FFAE23"/>
    <w:rsid w:val="F7FFC831"/>
    <w:rsid w:val="F9DC2D5F"/>
    <w:rsid w:val="FAFB3564"/>
    <w:rsid w:val="FAFD2AD2"/>
    <w:rsid w:val="FAFEF9A5"/>
    <w:rsid w:val="FB65FDB2"/>
    <w:rsid w:val="FB7BEF06"/>
    <w:rsid w:val="FBDC5B7B"/>
    <w:rsid w:val="FBFB8FE9"/>
    <w:rsid w:val="FBFE814B"/>
    <w:rsid w:val="FBFFFFA2"/>
    <w:rsid w:val="FC7FE08E"/>
    <w:rsid w:val="FD5796AE"/>
    <w:rsid w:val="FD6789CB"/>
    <w:rsid w:val="FD771BAB"/>
    <w:rsid w:val="FD9DAA4E"/>
    <w:rsid w:val="FD9F6B72"/>
    <w:rsid w:val="FDCFF67C"/>
    <w:rsid w:val="FE5AAF46"/>
    <w:rsid w:val="FE7F533C"/>
    <w:rsid w:val="FEAD0BDB"/>
    <w:rsid w:val="FEECB681"/>
    <w:rsid w:val="FEEF229D"/>
    <w:rsid w:val="FEF36D01"/>
    <w:rsid w:val="FEFFEC75"/>
    <w:rsid w:val="FF16C930"/>
    <w:rsid w:val="FF2B2D56"/>
    <w:rsid w:val="FF3FBB0E"/>
    <w:rsid w:val="FF8E6851"/>
    <w:rsid w:val="FFB71F91"/>
    <w:rsid w:val="FFB7513F"/>
    <w:rsid w:val="FFC53980"/>
    <w:rsid w:val="FFDCA840"/>
    <w:rsid w:val="FFDD652A"/>
    <w:rsid w:val="FFEB432A"/>
    <w:rsid w:val="FFEE8297"/>
    <w:rsid w:val="FFF17EFF"/>
    <w:rsid w:val="FFF6552E"/>
    <w:rsid w:val="FFF6B45D"/>
    <w:rsid w:val="FFFF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3"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4">
    <w:name w:val="heading 1"/>
    <w:basedOn w:val="1"/>
    <w:next w:val="1"/>
    <w:link w:val="46"/>
    <w:qFormat/>
    <w:uiPriority w:val="0"/>
    <w:pPr>
      <w:keepNext/>
      <w:keepLines/>
      <w:spacing w:before="340" w:after="330" w:line="578" w:lineRule="auto"/>
      <w:ind w:firstLine="0" w:firstLineChars="0"/>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等线 Light" w:hAnsi="等线 Light" w:eastAsia="等线 Light"/>
      <w:b/>
      <w:bCs/>
      <w:szCs w:val="32"/>
    </w:rPr>
  </w:style>
  <w:style w:type="paragraph" w:styleId="6">
    <w:name w:val="heading 3"/>
    <w:basedOn w:val="1"/>
    <w:next w:val="1"/>
    <w:link w:val="33"/>
    <w:semiHidden/>
    <w:unhideWhenUsed/>
    <w:qFormat/>
    <w:uiPriority w:val="9"/>
    <w:pPr>
      <w:keepNext/>
      <w:keepLines/>
      <w:spacing w:before="260" w:after="260" w:line="416" w:lineRule="auto"/>
      <w:outlineLvl w:val="2"/>
    </w:pPr>
    <w:rPr>
      <w:b/>
      <w:bCs/>
      <w:szCs w:val="32"/>
    </w:rPr>
  </w:style>
  <w:style w:type="paragraph" w:styleId="7">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paragraph" w:styleId="8">
    <w:name w:val="heading 5"/>
    <w:basedOn w:val="1"/>
    <w:next w:val="1"/>
    <w:qFormat/>
    <w:uiPriority w:val="0"/>
    <w:pPr>
      <w:keepNext/>
      <w:keepLines/>
      <w:numPr>
        <w:ilvl w:val="4"/>
        <w:numId w:val="1"/>
      </w:numPr>
      <w:spacing w:before="120" w:after="120"/>
      <w:ind w:firstLine="0"/>
      <w:jc w:val="left"/>
      <w:outlineLvl w:val="4"/>
    </w:pPr>
    <w:rPr>
      <w:rFonts w:eastAsia="黑体"/>
      <w:b/>
      <w:bCs/>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62"/>
    <w:qFormat/>
    <w:uiPriority w:val="0"/>
    <w:pPr>
      <w:ind w:firstLine="420" w:firstLineChars="100"/>
    </w:pPr>
  </w:style>
  <w:style w:type="paragraph" w:styleId="3">
    <w:name w:val="Body Text"/>
    <w:basedOn w:val="1"/>
    <w:next w:val="1"/>
    <w:qFormat/>
    <w:uiPriority w:val="3"/>
    <w:pPr>
      <w:spacing w:line="540" w:lineRule="exact"/>
      <w:jc w:val="left"/>
    </w:pPr>
    <w:rPr>
      <w:rFonts w:ascii="楷体_GB2312" w:eastAsia="楷体_GB2312"/>
      <w:szCs w:val="20"/>
    </w:rPr>
  </w:style>
  <w:style w:type="paragraph" w:styleId="9">
    <w:name w:val="Document Map"/>
    <w:basedOn w:val="1"/>
    <w:qFormat/>
    <w:uiPriority w:val="0"/>
    <w:rPr>
      <w:rFonts w:ascii="宋体" w:hAnsi="Calibri"/>
      <w:sz w:val="18"/>
      <w:szCs w:val="20"/>
    </w:rPr>
  </w:style>
  <w:style w:type="paragraph" w:styleId="10">
    <w:name w:val="annotation text"/>
    <w:basedOn w:val="1"/>
    <w:link w:val="50"/>
    <w:unhideWhenUsed/>
    <w:qFormat/>
    <w:uiPriority w:val="99"/>
    <w:pPr>
      <w:jc w:val="left"/>
    </w:pPr>
  </w:style>
  <w:style w:type="paragraph" w:styleId="11">
    <w:name w:val="Body Text Indent"/>
    <w:basedOn w:val="1"/>
    <w:unhideWhenUsed/>
    <w:qFormat/>
    <w:uiPriority w:val="99"/>
    <w:pPr>
      <w:ind w:firstLine="640"/>
    </w:pPr>
  </w:style>
  <w:style w:type="paragraph" w:styleId="12">
    <w:name w:val="toc 3"/>
    <w:basedOn w:val="1"/>
    <w:next w:val="1"/>
    <w:unhideWhenUsed/>
    <w:qFormat/>
    <w:uiPriority w:val="39"/>
    <w:pPr>
      <w:ind w:left="840" w:leftChars="400"/>
    </w:pPr>
  </w:style>
  <w:style w:type="paragraph" w:styleId="13">
    <w:name w:val="Plain Text"/>
    <w:basedOn w:val="1"/>
    <w:link w:val="63"/>
    <w:unhideWhenUsed/>
    <w:qFormat/>
    <w:uiPriority w:val="0"/>
    <w:rPr>
      <w:rFonts w:ascii="宋体" w:hAnsi="Courier New" w:cs="Courier New"/>
    </w:rPr>
  </w:style>
  <w:style w:type="paragraph" w:styleId="14">
    <w:name w:val="Balloon Text"/>
    <w:basedOn w:val="1"/>
    <w:link w:val="53"/>
    <w:semiHidden/>
    <w:unhideWhenUsed/>
    <w:qFormat/>
    <w:uiPriority w:val="99"/>
    <w:pPr>
      <w:spacing w:line="240" w:lineRule="auto"/>
    </w:pPr>
    <w:rPr>
      <w:sz w:val="18"/>
      <w:szCs w:val="18"/>
    </w:rPr>
  </w:style>
  <w:style w:type="paragraph" w:styleId="15">
    <w:name w:val="footer"/>
    <w:basedOn w:val="1"/>
    <w:link w:val="48"/>
    <w:unhideWhenUsed/>
    <w:qFormat/>
    <w:uiPriority w:val="99"/>
    <w:pPr>
      <w:tabs>
        <w:tab w:val="center" w:pos="4153"/>
        <w:tab w:val="right" w:pos="8306"/>
      </w:tabs>
      <w:snapToGrid w:val="0"/>
      <w:spacing w:line="240" w:lineRule="auto"/>
      <w:jc w:val="left"/>
    </w:pPr>
    <w:rPr>
      <w:sz w:val="18"/>
      <w:szCs w:val="18"/>
    </w:rPr>
  </w:style>
  <w:style w:type="paragraph" w:styleId="16">
    <w:name w:val="header"/>
    <w:basedOn w:val="1"/>
    <w:link w:val="47"/>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unhideWhenUsed/>
    <w:qFormat/>
    <w:uiPriority w:val="39"/>
    <w:pPr>
      <w:spacing w:line="480" w:lineRule="exact"/>
      <w:ind w:firstLine="0" w:firstLineChars="0"/>
    </w:pPr>
    <w:rPr>
      <w:rFonts w:eastAsia="黑体"/>
      <w:b/>
    </w:rPr>
  </w:style>
  <w:style w:type="paragraph" w:styleId="18">
    <w:name w:val="toc 2"/>
    <w:basedOn w:val="1"/>
    <w:next w:val="1"/>
    <w:unhideWhenUsed/>
    <w:qFormat/>
    <w:uiPriority w:val="39"/>
    <w:pPr>
      <w:spacing w:line="480" w:lineRule="exact"/>
      <w:ind w:left="200" w:leftChars="200" w:firstLine="0" w:firstLineChars="0"/>
    </w:pPr>
    <w:rPr>
      <w:rFonts w:eastAsia="黑体"/>
    </w:r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Cs w:val="24"/>
    </w:rPr>
  </w:style>
  <w:style w:type="paragraph" w:styleId="20">
    <w:name w:val="Normal (Web)"/>
    <w:basedOn w:val="1"/>
    <w:unhideWhenUsed/>
    <w:qFormat/>
    <w:uiPriority w:val="99"/>
    <w:rPr>
      <w:szCs w:val="24"/>
    </w:rPr>
  </w:style>
  <w:style w:type="paragraph" w:styleId="21">
    <w:name w:val="annotation subject"/>
    <w:basedOn w:val="10"/>
    <w:next w:val="10"/>
    <w:link w:val="51"/>
    <w:semiHidden/>
    <w:unhideWhenUsed/>
    <w:qFormat/>
    <w:uiPriority w:val="99"/>
    <w:rPr>
      <w:b/>
      <w:bCs/>
    </w:rPr>
  </w:style>
  <w:style w:type="table" w:styleId="23">
    <w:name w:val="Table Grid"/>
    <w:basedOn w:val="2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unhideWhenUsed/>
    <w:qFormat/>
    <w:uiPriority w:val="99"/>
    <w:rPr>
      <w:color w:val="0563C1"/>
      <w:u w:val="single"/>
    </w:rPr>
  </w:style>
  <w:style w:type="character" w:styleId="27">
    <w:name w:val="annotation reference"/>
    <w:semiHidden/>
    <w:unhideWhenUsed/>
    <w:qFormat/>
    <w:uiPriority w:val="99"/>
    <w:rPr>
      <w:sz w:val="21"/>
      <w:szCs w:val="21"/>
    </w:rPr>
  </w:style>
  <w:style w:type="paragraph" w:customStyle="1" w:styleId="28">
    <w:name w:val="二级"/>
    <w:basedOn w:val="5"/>
    <w:next w:val="1"/>
    <w:link w:val="29"/>
    <w:qFormat/>
    <w:uiPriority w:val="0"/>
    <w:pPr>
      <w:keepNext w:val="0"/>
      <w:keepLines w:val="0"/>
      <w:widowControl/>
      <w:spacing w:before="100" w:beforeLines="100" w:after="0" w:line="480" w:lineRule="auto"/>
      <w:ind w:firstLine="0" w:firstLineChars="0"/>
      <w:jc w:val="center"/>
    </w:pPr>
    <w:rPr>
      <w:rFonts w:ascii="仿宋_GB2312" w:hAnsi="宋体" w:eastAsia="黑体" w:cs="宋体"/>
      <w:bCs w:val="0"/>
      <w:kern w:val="0"/>
      <w:sz w:val="28"/>
      <w:szCs w:val="28"/>
    </w:rPr>
  </w:style>
  <w:style w:type="character" w:customStyle="1" w:styleId="29">
    <w:name w:val="二级 字符"/>
    <w:link w:val="28"/>
    <w:qFormat/>
    <w:uiPriority w:val="0"/>
    <w:rPr>
      <w:rFonts w:ascii="仿宋_GB2312" w:hAnsi="宋体" w:eastAsia="黑体" w:cs="宋体"/>
      <w:b/>
      <w:sz w:val="28"/>
      <w:szCs w:val="28"/>
    </w:rPr>
  </w:style>
  <w:style w:type="character" w:customStyle="1" w:styleId="30">
    <w:name w:val="标题 2 字符"/>
    <w:link w:val="5"/>
    <w:qFormat/>
    <w:uiPriority w:val="9"/>
    <w:rPr>
      <w:rFonts w:ascii="等线 Light" w:hAnsi="等线 Light" w:eastAsia="等线 Light" w:cs="Times New Roman"/>
      <w:b/>
      <w:bCs/>
      <w:sz w:val="32"/>
      <w:szCs w:val="32"/>
    </w:rPr>
  </w:style>
  <w:style w:type="paragraph" w:customStyle="1" w:styleId="31">
    <w:name w:val="三级"/>
    <w:basedOn w:val="6"/>
    <w:link w:val="32"/>
    <w:qFormat/>
    <w:uiPriority w:val="0"/>
    <w:pPr>
      <w:spacing w:before="0" w:after="0" w:line="240" w:lineRule="auto"/>
    </w:pPr>
    <w:rPr>
      <w:bCs w:val="0"/>
      <w:sz w:val="28"/>
      <w:szCs w:val="28"/>
    </w:rPr>
  </w:style>
  <w:style w:type="character" w:customStyle="1" w:styleId="32">
    <w:name w:val="三级 字符"/>
    <w:link w:val="31"/>
    <w:qFormat/>
    <w:uiPriority w:val="0"/>
    <w:rPr>
      <w:rFonts w:ascii="仿宋_GB2312" w:eastAsia="仿宋_GB2312"/>
      <w:b/>
      <w:sz w:val="28"/>
      <w:szCs w:val="28"/>
    </w:rPr>
  </w:style>
  <w:style w:type="character" w:customStyle="1" w:styleId="33">
    <w:name w:val="标题 3 字符"/>
    <w:basedOn w:val="24"/>
    <w:link w:val="6"/>
    <w:semiHidden/>
    <w:qFormat/>
    <w:uiPriority w:val="9"/>
    <w:rPr>
      <w:b/>
      <w:bCs/>
      <w:sz w:val="32"/>
      <w:szCs w:val="32"/>
    </w:rPr>
  </w:style>
  <w:style w:type="paragraph" w:customStyle="1" w:styleId="34">
    <w:name w:val="四级"/>
    <w:basedOn w:val="1"/>
    <w:link w:val="35"/>
    <w:qFormat/>
    <w:uiPriority w:val="0"/>
    <w:pPr>
      <w:ind w:firstLine="561"/>
      <w:outlineLvl w:val="3"/>
    </w:pPr>
    <w:rPr>
      <w:b/>
      <w:bCs/>
      <w:szCs w:val="28"/>
    </w:rPr>
  </w:style>
  <w:style w:type="character" w:customStyle="1" w:styleId="35">
    <w:name w:val="四级 字符"/>
    <w:link w:val="34"/>
    <w:qFormat/>
    <w:uiPriority w:val="0"/>
    <w:rPr>
      <w:rFonts w:ascii="仿宋_GB2312" w:eastAsia="仿宋_GB2312"/>
      <w:b/>
      <w:bCs/>
      <w:kern w:val="2"/>
      <w:sz w:val="32"/>
      <w:szCs w:val="28"/>
    </w:rPr>
  </w:style>
  <w:style w:type="paragraph" w:customStyle="1" w:styleId="36">
    <w:name w:val="一级标题"/>
    <w:basedOn w:val="1"/>
    <w:link w:val="37"/>
    <w:qFormat/>
    <w:uiPriority w:val="0"/>
    <w:pPr>
      <w:keepNext/>
      <w:keepLines/>
      <w:spacing w:before="156" w:beforeLines="50" w:after="156" w:afterLines="50"/>
      <w:jc w:val="center"/>
      <w:outlineLvl w:val="0"/>
    </w:pPr>
    <w:rPr>
      <w:b/>
      <w:bCs/>
      <w:kern w:val="44"/>
      <w:sz w:val="36"/>
      <w:szCs w:val="36"/>
    </w:rPr>
  </w:style>
  <w:style w:type="character" w:customStyle="1" w:styleId="37">
    <w:name w:val="一级标题 字符"/>
    <w:link w:val="36"/>
    <w:qFormat/>
    <w:uiPriority w:val="0"/>
    <w:rPr>
      <w:rFonts w:ascii="Times New Roman" w:hAnsi="Times New Roman"/>
      <w:b/>
      <w:bCs/>
      <w:kern w:val="44"/>
      <w:sz w:val="36"/>
      <w:szCs w:val="36"/>
    </w:rPr>
  </w:style>
  <w:style w:type="paragraph" w:customStyle="1" w:styleId="38">
    <w:name w:val="二级标题"/>
    <w:basedOn w:val="1"/>
    <w:link w:val="39"/>
    <w:qFormat/>
    <w:uiPriority w:val="0"/>
    <w:pPr>
      <w:keepNext/>
      <w:keepLines/>
      <w:spacing w:before="156" w:beforeLines="50" w:after="156" w:afterLines="50"/>
      <w:ind w:firstLine="640"/>
      <w:outlineLvl w:val="1"/>
    </w:pPr>
    <w:rPr>
      <w:rFonts w:eastAsia="黑体"/>
      <w:bCs/>
      <w:szCs w:val="32"/>
    </w:rPr>
  </w:style>
  <w:style w:type="character" w:customStyle="1" w:styleId="39">
    <w:name w:val="二级标题 字符"/>
    <w:link w:val="38"/>
    <w:qFormat/>
    <w:uiPriority w:val="0"/>
    <w:rPr>
      <w:rFonts w:ascii="Times New Roman" w:hAnsi="Times New Roman" w:eastAsia="黑体"/>
      <w:bCs/>
      <w:sz w:val="32"/>
      <w:szCs w:val="32"/>
    </w:rPr>
  </w:style>
  <w:style w:type="paragraph" w:customStyle="1" w:styleId="40">
    <w:name w:val="三级标题"/>
    <w:basedOn w:val="1"/>
    <w:link w:val="41"/>
    <w:qFormat/>
    <w:uiPriority w:val="0"/>
    <w:pPr>
      <w:keepNext/>
      <w:keepLines/>
      <w:spacing w:before="156" w:beforeLines="50" w:after="156" w:afterLines="50"/>
      <w:ind w:firstLine="643"/>
      <w:outlineLvl w:val="2"/>
    </w:pPr>
    <w:rPr>
      <w:rFonts w:eastAsia="楷体_GB2312"/>
      <w:b/>
      <w:bCs/>
      <w:szCs w:val="32"/>
    </w:rPr>
  </w:style>
  <w:style w:type="character" w:customStyle="1" w:styleId="41">
    <w:name w:val="三级标题 字符"/>
    <w:link w:val="40"/>
    <w:qFormat/>
    <w:uiPriority w:val="0"/>
    <w:rPr>
      <w:rFonts w:ascii="Times New Roman" w:hAnsi="Times New Roman" w:eastAsia="楷体_GB2312"/>
      <w:b/>
      <w:bCs/>
      <w:sz w:val="32"/>
      <w:szCs w:val="32"/>
    </w:rPr>
  </w:style>
  <w:style w:type="paragraph" w:customStyle="1" w:styleId="42">
    <w:name w:val="四级标题"/>
    <w:basedOn w:val="1"/>
    <w:link w:val="43"/>
    <w:qFormat/>
    <w:uiPriority w:val="0"/>
    <w:pPr>
      <w:widowControl/>
      <w:spacing w:line="560" w:lineRule="exact"/>
      <w:outlineLvl w:val="3"/>
    </w:pPr>
    <w:rPr>
      <w:bCs/>
      <w:sz w:val="21"/>
      <w:szCs w:val="32"/>
    </w:rPr>
  </w:style>
  <w:style w:type="character" w:customStyle="1" w:styleId="43">
    <w:name w:val="四级标题 字符"/>
    <w:link w:val="42"/>
    <w:qFormat/>
    <w:uiPriority w:val="0"/>
    <w:rPr>
      <w:bCs/>
      <w:kern w:val="2"/>
      <w:sz w:val="21"/>
      <w:szCs w:val="32"/>
    </w:rPr>
  </w:style>
  <w:style w:type="paragraph" w:customStyle="1" w:styleId="44">
    <w:name w:val="样式1"/>
    <w:basedOn w:val="4"/>
    <w:next w:val="1"/>
    <w:link w:val="45"/>
    <w:qFormat/>
    <w:uiPriority w:val="0"/>
    <w:pPr>
      <w:spacing w:before="0" w:after="0" w:line="560" w:lineRule="exact"/>
      <w:jc w:val="center"/>
    </w:pPr>
    <w:rPr>
      <w:rFonts w:ascii="黑体" w:hAnsi="黑体" w:eastAsia="黑体"/>
      <w:b w:val="0"/>
      <w:sz w:val="32"/>
      <w:szCs w:val="32"/>
    </w:rPr>
  </w:style>
  <w:style w:type="character" w:customStyle="1" w:styleId="45">
    <w:name w:val="样式1 字符"/>
    <w:link w:val="44"/>
    <w:qFormat/>
    <w:uiPriority w:val="0"/>
    <w:rPr>
      <w:rFonts w:ascii="黑体" w:hAnsi="黑体" w:eastAsia="黑体"/>
      <w:bCs/>
      <w:kern w:val="44"/>
      <w:sz w:val="32"/>
      <w:szCs w:val="32"/>
    </w:rPr>
  </w:style>
  <w:style w:type="character" w:customStyle="1" w:styleId="46">
    <w:name w:val="标题 1 字符"/>
    <w:link w:val="4"/>
    <w:qFormat/>
    <w:uiPriority w:val="0"/>
    <w:rPr>
      <w:b/>
      <w:bCs/>
      <w:kern w:val="44"/>
      <w:sz w:val="44"/>
      <w:szCs w:val="44"/>
    </w:rPr>
  </w:style>
  <w:style w:type="character" w:customStyle="1" w:styleId="47">
    <w:name w:val="页眉 字符"/>
    <w:link w:val="16"/>
    <w:qFormat/>
    <w:uiPriority w:val="0"/>
    <w:rPr>
      <w:rFonts w:ascii="仿宋_GB2312" w:eastAsia="仿宋_GB2312"/>
      <w:kern w:val="2"/>
      <w:sz w:val="18"/>
      <w:szCs w:val="18"/>
    </w:rPr>
  </w:style>
  <w:style w:type="character" w:customStyle="1" w:styleId="48">
    <w:name w:val="页脚 字符"/>
    <w:link w:val="15"/>
    <w:qFormat/>
    <w:uiPriority w:val="99"/>
    <w:rPr>
      <w:rFonts w:ascii="仿宋_GB2312" w:eastAsia="仿宋_GB2312"/>
      <w:kern w:val="2"/>
      <w:sz w:val="18"/>
      <w:szCs w:val="18"/>
    </w:rPr>
  </w:style>
  <w:style w:type="paragraph" w:styleId="49">
    <w:name w:val="No Spacing"/>
    <w:qFormat/>
    <w:uiPriority w:val="1"/>
    <w:pPr>
      <w:widowControl w:val="0"/>
      <w:ind w:firstLine="200" w:firstLineChars="200"/>
      <w:jc w:val="both"/>
    </w:pPr>
    <w:rPr>
      <w:rFonts w:ascii="仿宋_GB2312" w:hAnsi="等线" w:eastAsia="仿宋_GB2312" w:cs="Times New Roman"/>
      <w:kern w:val="2"/>
      <w:sz w:val="24"/>
      <w:szCs w:val="22"/>
      <w:lang w:val="en-US" w:eastAsia="zh-CN" w:bidi="ar-SA"/>
    </w:rPr>
  </w:style>
  <w:style w:type="character" w:customStyle="1" w:styleId="50">
    <w:name w:val="批注文字 字符"/>
    <w:link w:val="10"/>
    <w:qFormat/>
    <w:uiPriority w:val="99"/>
    <w:rPr>
      <w:rFonts w:ascii="仿宋_GB2312" w:eastAsia="仿宋_GB2312"/>
      <w:kern w:val="2"/>
      <w:sz w:val="32"/>
      <w:szCs w:val="22"/>
    </w:rPr>
  </w:style>
  <w:style w:type="character" w:customStyle="1" w:styleId="51">
    <w:name w:val="批注主题 字符"/>
    <w:link w:val="21"/>
    <w:semiHidden/>
    <w:qFormat/>
    <w:uiPriority w:val="99"/>
    <w:rPr>
      <w:rFonts w:ascii="仿宋_GB2312" w:eastAsia="仿宋_GB2312"/>
      <w:b/>
      <w:bCs/>
      <w:kern w:val="2"/>
      <w:sz w:val="32"/>
      <w:szCs w:val="22"/>
    </w:rPr>
  </w:style>
  <w:style w:type="paragraph" w:customStyle="1" w:styleId="52">
    <w:name w:val="TOC 标题1"/>
    <w:basedOn w:val="4"/>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53">
    <w:name w:val="批注框文本 字符"/>
    <w:basedOn w:val="24"/>
    <w:link w:val="14"/>
    <w:semiHidden/>
    <w:qFormat/>
    <w:uiPriority w:val="99"/>
    <w:rPr>
      <w:rFonts w:ascii="仿宋_GB2312" w:eastAsia="仿宋_GB2312"/>
      <w:kern w:val="2"/>
      <w:sz w:val="18"/>
      <w:szCs w:val="18"/>
    </w:rPr>
  </w:style>
  <w:style w:type="paragraph" w:customStyle="1" w:styleId="54">
    <w:name w:val="修订1"/>
    <w:hidden/>
    <w:semiHidden/>
    <w:qFormat/>
    <w:uiPriority w:val="99"/>
    <w:rPr>
      <w:rFonts w:ascii="仿宋_GB2312" w:hAnsi="等线" w:eastAsia="仿宋_GB2312" w:cs="Times New Roman"/>
      <w:kern w:val="2"/>
      <w:sz w:val="32"/>
      <w:szCs w:val="22"/>
      <w:lang w:val="en-US" w:eastAsia="zh-CN" w:bidi="ar-SA"/>
    </w:rPr>
  </w:style>
  <w:style w:type="character" w:customStyle="1" w:styleId="55">
    <w:name w:val="页脚 Char"/>
    <w:qFormat/>
    <w:uiPriority w:val="99"/>
    <w:rPr>
      <w:sz w:val="18"/>
      <w:szCs w:val="18"/>
    </w:rPr>
  </w:style>
  <w:style w:type="paragraph" w:styleId="56">
    <w:name w:val="List Paragraph"/>
    <w:basedOn w:val="1"/>
    <w:unhideWhenUsed/>
    <w:qFormat/>
    <w:uiPriority w:val="0"/>
    <w:pPr>
      <w:spacing w:line="240" w:lineRule="auto"/>
      <w:ind w:firstLine="420"/>
    </w:pPr>
    <w:rPr>
      <w:sz w:val="21"/>
    </w:rPr>
  </w:style>
  <w:style w:type="paragraph" w:customStyle="1" w:styleId="57">
    <w:name w:val="修订2"/>
    <w:hidden/>
    <w:semiHidden/>
    <w:qFormat/>
    <w:uiPriority w:val="99"/>
    <w:rPr>
      <w:rFonts w:ascii="仿宋_GB2312" w:hAnsi="等线" w:eastAsia="仿宋_GB2312" w:cs="Times New Roman"/>
      <w:kern w:val="2"/>
      <w:sz w:val="32"/>
      <w:szCs w:val="22"/>
      <w:lang w:val="en-US" w:eastAsia="zh-CN" w:bidi="ar-SA"/>
    </w:rPr>
  </w:style>
  <w:style w:type="paragraph" w:customStyle="1" w:styleId="58">
    <w:name w:val="正文不空"/>
    <w:basedOn w:val="1"/>
    <w:qFormat/>
    <w:uiPriority w:val="0"/>
    <w:pPr>
      <w:jc w:val="center"/>
    </w:pPr>
    <w:rPr>
      <w:rFonts w:ascii="Arial" w:hAnsi="Arial" w:eastAsia="仿宋_GB2312"/>
      <w:sz w:val="28"/>
      <w:szCs w:val="28"/>
    </w:rPr>
  </w:style>
  <w:style w:type="character" w:customStyle="1" w:styleId="59">
    <w:name w:val="未处理的提及1"/>
    <w:unhideWhenUsed/>
    <w:qFormat/>
    <w:uiPriority w:val="99"/>
    <w:rPr>
      <w:color w:val="605E5C"/>
      <w:shd w:val="clear" w:color="auto" w:fill="E1DFDD"/>
    </w:rPr>
  </w:style>
  <w:style w:type="paragraph" w:customStyle="1" w:styleId="60">
    <w:name w:val="文件正文"/>
    <w:basedOn w:val="15"/>
    <w:qFormat/>
    <w:uiPriority w:val="0"/>
    <w:pPr>
      <w:snapToGrid/>
      <w:spacing w:line="560" w:lineRule="exact"/>
      <w:ind w:firstLine="622"/>
      <w:jc w:val="both"/>
    </w:pPr>
    <w:rPr>
      <w:rFonts w:ascii="仿宋_GB2312" w:hAnsi="仿宋_GB2312" w:eastAsia="仿宋_GB2312"/>
      <w:sz w:val="32"/>
      <w:szCs w:val="32"/>
    </w:rPr>
  </w:style>
  <w:style w:type="paragraph" w:customStyle="1" w:styleId="61">
    <w:name w:val="修订3"/>
    <w:hidden/>
    <w:semiHidden/>
    <w:qFormat/>
    <w:uiPriority w:val="99"/>
    <w:rPr>
      <w:rFonts w:ascii="Times New Roman" w:hAnsi="Times New Roman" w:eastAsia="宋体" w:cs="Times New Roman"/>
      <w:kern w:val="2"/>
      <w:sz w:val="24"/>
      <w:szCs w:val="22"/>
      <w:lang w:val="en-US" w:eastAsia="zh-CN" w:bidi="ar-SA"/>
    </w:rPr>
  </w:style>
  <w:style w:type="character" w:customStyle="1" w:styleId="62">
    <w:name w:val="正文文本首行缩进 字符"/>
    <w:basedOn w:val="24"/>
    <w:link w:val="2"/>
    <w:qFormat/>
    <w:uiPriority w:val="0"/>
    <w:rPr>
      <w:rFonts w:ascii="楷体_GB2312" w:eastAsia="楷体_GB2312"/>
      <w:kern w:val="2"/>
      <w:sz w:val="24"/>
    </w:rPr>
  </w:style>
  <w:style w:type="character" w:customStyle="1" w:styleId="63">
    <w:name w:val="纯文本 字符"/>
    <w:basedOn w:val="24"/>
    <w:link w:val="13"/>
    <w:qFormat/>
    <w:uiPriority w:val="0"/>
    <w:rPr>
      <w:rFonts w:ascii="宋体" w:hAnsi="Courier New" w:cs="Courier New"/>
      <w:kern w:val="2"/>
      <w:sz w:val="24"/>
      <w:szCs w:val="22"/>
    </w:rPr>
  </w:style>
  <w:style w:type="paragraph" w:customStyle="1" w:styleId="64">
    <w:name w:val="修订4"/>
    <w:hidden/>
    <w:unhideWhenUsed/>
    <w:qFormat/>
    <w:uiPriority w:val="99"/>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image" Target="media/image22.png"/><Relationship Id="rId52" Type="http://schemas.openxmlformats.org/officeDocument/2006/relationships/image" Target="media/image21.png"/><Relationship Id="rId51" Type="http://schemas.openxmlformats.org/officeDocument/2006/relationships/image" Target="media/image20.png"/><Relationship Id="rId50" Type="http://schemas.openxmlformats.org/officeDocument/2006/relationships/image" Target="media/image19.png"/><Relationship Id="rId5" Type="http://schemas.openxmlformats.org/officeDocument/2006/relationships/header" Target="header1.xml"/><Relationship Id="rId49" Type="http://schemas.openxmlformats.org/officeDocument/2006/relationships/image" Target="media/image18.png"/><Relationship Id="rId48" Type="http://schemas.openxmlformats.org/officeDocument/2006/relationships/image" Target="media/image17.png"/><Relationship Id="rId47" Type="http://schemas.openxmlformats.org/officeDocument/2006/relationships/image" Target="media/image16.png"/><Relationship Id="rId46" Type="http://schemas.openxmlformats.org/officeDocument/2006/relationships/image" Target="media/image15.png"/><Relationship Id="rId45" Type="http://schemas.openxmlformats.org/officeDocument/2006/relationships/image" Target="media/image14.png"/><Relationship Id="rId44" Type="http://schemas.openxmlformats.org/officeDocument/2006/relationships/image" Target="media/image13.png"/><Relationship Id="rId43" Type="http://schemas.openxmlformats.org/officeDocument/2006/relationships/image" Target="media/image12.png"/><Relationship Id="rId42" Type="http://schemas.openxmlformats.org/officeDocument/2006/relationships/image" Target="media/image11.png"/><Relationship Id="rId41" Type="http://schemas.openxmlformats.org/officeDocument/2006/relationships/image" Target="media/image10.png"/><Relationship Id="rId40" Type="http://schemas.openxmlformats.org/officeDocument/2006/relationships/image" Target="media/image9.png"/><Relationship Id="rId4" Type="http://schemas.openxmlformats.org/officeDocument/2006/relationships/endnotes" Target="endnotes.xml"/><Relationship Id="rId39" Type="http://schemas.openxmlformats.org/officeDocument/2006/relationships/image" Target="media/image8.png"/><Relationship Id="rId38" Type="http://schemas.openxmlformats.org/officeDocument/2006/relationships/image" Target="media/image7.png"/><Relationship Id="rId37" Type="http://schemas.openxmlformats.org/officeDocument/2006/relationships/image" Target="media/image6.png"/><Relationship Id="rId36" Type="http://schemas.openxmlformats.org/officeDocument/2006/relationships/image" Target="media/image5.png"/><Relationship Id="rId35" Type="http://schemas.openxmlformats.org/officeDocument/2006/relationships/image" Target="media/image4.jpeg"/><Relationship Id="rId34" Type="http://schemas.openxmlformats.org/officeDocument/2006/relationships/image" Target="media/image3.png"/><Relationship Id="rId33" Type="http://schemas.openxmlformats.org/officeDocument/2006/relationships/image" Target="media/image2.png"/><Relationship Id="rId32" Type="http://schemas.openxmlformats.org/officeDocument/2006/relationships/image" Target="media/image1.png"/><Relationship Id="rId31" Type="http://schemas.openxmlformats.org/officeDocument/2006/relationships/theme" Target="theme/theme1.xml"/><Relationship Id="rId30" Type="http://schemas.openxmlformats.org/officeDocument/2006/relationships/footer" Target="footer12.xml"/><Relationship Id="rId3" Type="http://schemas.openxmlformats.org/officeDocument/2006/relationships/footnotes" Target="footnotes.xml"/><Relationship Id="rId29" Type="http://schemas.openxmlformats.org/officeDocument/2006/relationships/footer" Target="footer11.xml"/><Relationship Id="rId28" Type="http://schemas.openxmlformats.org/officeDocument/2006/relationships/header" Target="header14.xml"/><Relationship Id="rId27" Type="http://schemas.openxmlformats.org/officeDocument/2006/relationships/header" Target="header13.xml"/><Relationship Id="rId26" Type="http://schemas.openxmlformats.org/officeDocument/2006/relationships/header" Target="header12.xml"/><Relationship Id="rId25" Type="http://schemas.openxmlformats.org/officeDocument/2006/relationships/footer" Target="footer10.xml"/><Relationship Id="rId24" Type="http://schemas.openxmlformats.org/officeDocument/2006/relationships/footer" Target="footer9.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109</Pages>
  <Words>44856</Words>
  <Characters>46887</Characters>
  <Lines>383</Lines>
  <Paragraphs>107</Paragraphs>
  <TotalTime>2</TotalTime>
  <ScaleCrop>false</ScaleCrop>
  <LinksUpToDate>false</LinksUpToDate>
  <CharactersWithSpaces>47364</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2023-06-29T09:26:00Z</dcterms:created>
  <dc:creator>崧凯 廖</dc:creator>
  <cp:lastModifiedBy>gxj</cp:lastModifiedBy>
  <cp:lastPrinted>2021-07-24T07:15:00Z</cp:lastPrinted>
  <dcterms:modified xsi:type="dcterms:W3CDTF">2026-05-11T17:26:45Z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A98313AF21824046D5A0016A7BD70032</vt:lpwstr>
  </property>
</Properties>
</file>