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17B7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Style w:val="15"/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Style w:val="15"/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附件</w:t>
      </w:r>
      <w:r>
        <w:rPr>
          <w:rStyle w:val="15"/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3</w:t>
      </w:r>
    </w:p>
    <w:p w14:paraId="5056C8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Style w:val="15"/>
          <w:rFonts w:hint="default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</w:p>
    <w:p w14:paraId="6EB565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Style w:val="15"/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</w:rPr>
      </w:pPr>
      <w:r>
        <w:rPr>
          <w:rStyle w:val="15"/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</w:rPr>
        <w:t>光明区义务教育学校积分入学办法</w:t>
      </w:r>
    </w:p>
    <w:p w14:paraId="5D40F2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0"/>
        <w:jc w:val="center"/>
        <w:textAlignment w:val="auto"/>
        <w:rPr>
          <w:rStyle w:val="15"/>
          <w:rFonts w:ascii="仿宋_GB2312" w:hAnsi="Calibri" w:eastAsia="仿宋_GB2312" w:cs="Times New Roman"/>
          <w:color w:val="auto"/>
          <w:sz w:val="32"/>
          <w:szCs w:val="32"/>
        </w:rPr>
      </w:pPr>
    </w:p>
    <w:p w14:paraId="6D175FA7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0"/>
        <w:jc w:val="left"/>
        <w:textAlignment w:val="auto"/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shd w:val="clear" w:color="auto" w:fill="FFFFFF"/>
        </w:rPr>
        <w:t>第一条 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为规范义务教育招生行为，保障符合在深就读条件适龄儿童、少年接受义务教育的合法权利，促进教育公平，根据《中华人民共和国义务教育法》《深圳经济特区居住证条例》《深圳市非深户籍人员子女接受义务教育管理办法》（深府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〔20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〕3号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）等有关法律法规和文件精神，光明区义务教育新生入学和转学插班实行积分入学。参加积分入学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eastAsia="zh-CN"/>
        </w:rPr>
        <w:t>的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对象为：</w:t>
      </w:r>
    </w:p>
    <w:p w14:paraId="5DD1E807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（一）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深圳市户籍儿童、少年；</w:t>
      </w:r>
    </w:p>
    <w:p w14:paraId="2C6F2546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（二）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符合《深圳市非深户籍人员子女接受义务教育管理办法》（深府规〔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2024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〕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号）文件规定的非深户籍适龄儿童、少年；</w:t>
      </w:r>
    </w:p>
    <w:p w14:paraId="4D239E41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ascii="仿宋_GB2312" w:hAnsi="宋体" w:eastAsia="仿宋_GB2312" w:cs="宋体"/>
          <w:color w:val="auto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（三）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按规定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享受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各类教育优待政策人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员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的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子女。</w:t>
      </w:r>
    </w:p>
    <w:p w14:paraId="70D68F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" w:leftChars="1" w:firstLine="643" w:firstLineChars="0"/>
        <w:jc w:val="both"/>
        <w:textAlignment w:val="auto"/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shd w:val="clear" w:color="auto" w:fill="FFFFFF"/>
        </w:rPr>
        <w:t>第二条</w:t>
      </w:r>
      <w:r>
        <w:rPr>
          <w:rFonts w:hint="eastAsia" w:ascii="仿宋_GB2312" w:hAnsi="宋体" w:eastAsia="仿宋_GB2312" w:cs="宋体"/>
          <w:color w:val="auto"/>
          <w:sz w:val="32"/>
          <w:szCs w:val="32"/>
        </w:rPr>
        <w:t> 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光明区义务教育学位类型按照适龄儿童、少年户籍和家庭购房情况分为八类，积分项目及标准如下：</w:t>
      </w:r>
    </w:p>
    <w:p w14:paraId="717805D8">
      <w:pPr>
        <w:spacing w:line="240" w:lineRule="auto"/>
        <w:ind w:firstLine="0" w:firstLineChars="0"/>
        <w:jc w:val="both"/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br w:type="page"/>
      </w:r>
    </w:p>
    <w:tbl>
      <w:tblPr>
        <w:tblStyle w:val="6"/>
        <w:tblW w:w="8910" w:type="dxa"/>
        <w:tblInd w:w="15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0"/>
        <w:gridCol w:w="945"/>
        <w:gridCol w:w="4500"/>
        <w:gridCol w:w="945"/>
      </w:tblGrid>
      <w:tr w14:paraId="27A856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5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FBDEB">
            <w:pPr>
              <w:widowControl/>
              <w:spacing w:line="0" w:lineRule="atLeast"/>
              <w:ind w:firstLine="0" w:firstLineChars="0"/>
              <w:jc w:val="center"/>
              <w:rPr>
                <w:rFonts w:ascii="仿宋_GB2312" w:hAnsi="宋体" w:eastAsia="仿宋_GB2312" w:cs="宋体"/>
                <w:b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color w:val="auto"/>
                <w:sz w:val="24"/>
              </w:rPr>
              <w:t>学位类型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5E36B">
            <w:pPr>
              <w:widowControl/>
              <w:spacing w:line="0" w:lineRule="atLeast"/>
              <w:ind w:firstLine="0" w:firstLineChars="0"/>
              <w:jc w:val="center"/>
              <w:rPr>
                <w:rFonts w:ascii="仿宋_GB2312" w:hAnsi="宋体" w:eastAsia="仿宋_GB2312" w:cs="宋体"/>
                <w:b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color w:val="auto"/>
                <w:sz w:val="24"/>
              </w:rPr>
              <w:t>基础积分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0E97D">
            <w:pPr>
              <w:widowControl/>
              <w:spacing w:line="0" w:lineRule="atLeast"/>
              <w:ind w:firstLine="0" w:firstLineChars="0"/>
              <w:jc w:val="center"/>
              <w:rPr>
                <w:rFonts w:ascii="仿宋_GB2312" w:hAnsi="宋体" w:eastAsia="仿宋_GB2312" w:cs="宋体"/>
                <w:b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color w:val="auto"/>
                <w:sz w:val="24"/>
              </w:rPr>
              <w:t>加分项目及标准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2A1CD">
            <w:pPr>
              <w:widowControl/>
              <w:spacing w:line="0" w:lineRule="atLeast"/>
              <w:ind w:firstLine="0" w:firstLineChars="0"/>
              <w:jc w:val="center"/>
              <w:rPr>
                <w:rFonts w:ascii="仿宋_GB2312" w:hAnsi="宋体" w:eastAsia="仿宋_GB2312" w:cs="宋体"/>
                <w:b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color w:val="auto"/>
                <w:sz w:val="24"/>
              </w:rPr>
              <w:t>备注</w:t>
            </w:r>
          </w:p>
        </w:tc>
      </w:tr>
      <w:tr w14:paraId="65E76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5" w:hRule="atLeast"/>
        </w:trPr>
        <w:tc>
          <w:tcPr>
            <w:tcW w:w="2520" w:type="dxa"/>
            <w:tcBorders>
              <w:top w:val="single" w:color="auto" w:sz="4" w:space="0"/>
            </w:tcBorders>
            <w:noWrap w:val="0"/>
            <w:vAlign w:val="center"/>
          </w:tcPr>
          <w:p w14:paraId="78CC824E">
            <w:pPr>
              <w:widowControl/>
              <w:spacing w:line="0" w:lineRule="atLeast"/>
              <w:ind w:firstLine="0" w:firstLineChars="0"/>
              <w:jc w:val="left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第一类：</w:t>
            </w:r>
          </w:p>
          <w:p w14:paraId="4A53B29D">
            <w:pPr>
              <w:widowControl/>
              <w:spacing w:line="0" w:lineRule="atLeast"/>
              <w:ind w:firstLine="0" w:firstLineChars="0"/>
              <w:jc w:val="left"/>
              <w:rPr>
                <w:rFonts w:hint="default" w:ascii="仿宋_GB2312" w:hAnsi="宋体" w:eastAsia="仿宋_GB2312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学区内光明户籍，学区内拥有合法产权房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val="en-US" w:eastAsia="zh-CN"/>
              </w:rPr>
              <w:t>监护人产权＞50%，户籍地址和居住地址一致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val="en-US" w:eastAsia="zh-CN"/>
              </w:rPr>
              <w:t>）</w:t>
            </w:r>
          </w:p>
        </w:tc>
        <w:tc>
          <w:tcPr>
            <w:tcW w:w="945" w:type="dxa"/>
            <w:tcBorders>
              <w:top w:val="single" w:color="auto" w:sz="4" w:space="0"/>
            </w:tcBorders>
            <w:noWrap w:val="0"/>
            <w:vAlign w:val="center"/>
          </w:tcPr>
          <w:p w14:paraId="3BEE7781">
            <w:pPr>
              <w:spacing w:line="400" w:lineRule="exact"/>
              <w:ind w:firstLine="0" w:firstLineChars="0"/>
              <w:jc w:val="center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lang w:val="en-US" w:eastAsia="zh-CN"/>
              </w:rPr>
              <w:t>90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分</w:t>
            </w:r>
          </w:p>
        </w:tc>
        <w:tc>
          <w:tcPr>
            <w:tcW w:w="4500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 w14:paraId="41D7E6BF">
            <w:pPr>
              <w:widowControl/>
              <w:spacing w:line="0" w:lineRule="atLeast"/>
              <w:ind w:firstLine="482" w:firstLineChars="200"/>
              <w:jc w:val="both"/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</w:rPr>
              <w:t>1.入户时长加分：</w:t>
            </w:r>
          </w:p>
          <w:p w14:paraId="6E6612AC">
            <w:pPr>
              <w:widowControl/>
              <w:spacing w:line="0" w:lineRule="atLeast"/>
              <w:ind w:firstLine="480" w:firstLineChars="20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以适龄儿童、少年父母（监护人）一方户口迁入深圳市时长积分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，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0.1分/月。</w:t>
            </w:r>
          </w:p>
          <w:p w14:paraId="03AE526B">
            <w:pPr>
              <w:widowControl/>
              <w:spacing w:line="0" w:lineRule="atLeast"/>
              <w:ind w:firstLine="482" w:firstLineChars="200"/>
              <w:jc w:val="both"/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</w:rPr>
              <w:t>2.居住时长加分：</w:t>
            </w:r>
          </w:p>
          <w:p w14:paraId="6ADA4892">
            <w:pPr>
              <w:widowControl/>
              <w:spacing w:line="0" w:lineRule="atLeast"/>
              <w:ind w:firstLine="480" w:firstLineChars="20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按申请人家庭在学区内连续居住的时长进行积分：</w:t>
            </w:r>
          </w:p>
          <w:p w14:paraId="49E556BB">
            <w:pPr>
              <w:widowControl/>
              <w:spacing w:line="0" w:lineRule="atLeast"/>
              <w:ind w:firstLine="480" w:firstLineChars="20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1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拥有合法产权房（用途为住宅）的，以购房合同的备案日期，或房地产证、不动产权证登记的购房日期，或与政府（职能部门）签订的政策性住房协议的签订日期开始积分，0.1分/月。</w:t>
            </w:r>
          </w:p>
          <w:p w14:paraId="04AF6DEF">
            <w:pPr>
              <w:widowControl/>
              <w:spacing w:line="0" w:lineRule="atLeast"/>
              <w:ind w:firstLine="480" w:firstLineChars="20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2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租房（用途为住宅）的，以《房屋租赁凭证》（红本）的发证日期，或与政府（职能部门）签订的政策性住房租赁协议的签订日期开始积分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，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0.1分/月。</w:t>
            </w:r>
          </w:p>
          <w:p w14:paraId="45E9AA21">
            <w:pPr>
              <w:widowControl/>
              <w:spacing w:line="0" w:lineRule="atLeast"/>
              <w:ind w:firstLine="480" w:firstLineChars="200"/>
              <w:jc w:val="both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注：承租人需为监护人。</w:t>
            </w:r>
          </w:p>
          <w:p w14:paraId="75E3334D">
            <w:pPr>
              <w:widowControl/>
              <w:spacing w:line="0" w:lineRule="atLeast"/>
              <w:ind w:firstLine="480" w:firstLineChars="200"/>
              <w:jc w:val="both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3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拥有特殊住房（自建房、集资房、祖屋，用途为住宅）的，以辖区居委会出具证明显示的入住时间或水电费单、煤气单缴交时间开始积分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，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0.1分/月。</w:t>
            </w:r>
          </w:p>
        </w:tc>
        <w:tc>
          <w:tcPr>
            <w:tcW w:w="945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 w14:paraId="007D98F2">
            <w:pPr>
              <w:widowControl/>
              <w:spacing w:line="0" w:lineRule="atLeast"/>
              <w:ind w:firstLine="0" w:firstLineChars="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1.相关积分或加分以职能部门审核结果为准。</w:t>
            </w:r>
          </w:p>
          <w:p w14:paraId="5CB02E2B">
            <w:pPr>
              <w:spacing w:line="400" w:lineRule="exact"/>
              <w:ind w:firstLine="0" w:firstLineChars="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</w:p>
          <w:p w14:paraId="3EA6762B">
            <w:pPr>
              <w:widowControl/>
              <w:spacing w:line="0" w:lineRule="atLeast"/>
              <w:ind w:firstLine="0" w:firstLineChars="0"/>
              <w:jc w:val="left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2.累计积分，不封顶。</w:t>
            </w:r>
          </w:p>
        </w:tc>
      </w:tr>
      <w:tr w14:paraId="30FCA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5" w:hRule="atLeast"/>
        </w:trPr>
        <w:tc>
          <w:tcPr>
            <w:tcW w:w="2520" w:type="dxa"/>
            <w:tcBorders>
              <w:top w:val="single" w:color="auto" w:sz="4" w:space="0"/>
            </w:tcBorders>
            <w:noWrap w:val="0"/>
            <w:vAlign w:val="center"/>
          </w:tcPr>
          <w:p w14:paraId="41B4FB54">
            <w:pPr>
              <w:widowControl/>
              <w:spacing w:line="0" w:lineRule="atLeast"/>
              <w:ind w:firstLine="0" w:firstLineChars="0"/>
              <w:jc w:val="left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第二类：</w:t>
            </w:r>
          </w:p>
          <w:p w14:paraId="0DFB7524">
            <w:pPr>
              <w:widowControl/>
              <w:spacing w:line="0" w:lineRule="atLeast"/>
              <w:ind w:firstLine="0" w:firstLineChars="0"/>
              <w:jc w:val="left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学区内光明户籍，学区内租房或居住其他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住房</w:t>
            </w:r>
          </w:p>
        </w:tc>
        <w:tc>
          <w:tcPr>
            <w:tcW w:w="945" w:type="dxa"/>
            <w:tcBorders>
              <w:top w:val="single" w:color="auto" w:sz="4" w:space="0"/>
            </w:tcBorders>
            <w:noWrap w:val="0"/>
            <w:vAlign w:val="center"/>
          </w:tcPr>
          <w:p w14:paraId="4D3B7AF4">
            <w:pPr>
              <w:spacing w:line="400" w:lineRule="exact"/>
              <w:ind w:firstLine="0" w:firstLineChars="0"/>
              <w:jc w:val="center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lang w:val="en-US" w:eastAsia="zh-CN"/>
              </w:rPr>
              <w:t>80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分</w:t>
            </w:r>
          </w:p>
        </w:tc>
        <w:tc>
          <w:tcPr>
            <w:tcW w:w="4500" w:type="dxa"/>
            <w:vMerge w:val="continue"/>
            <w:noWrap w:val="0"/>
            <w:vAlign w:val="center"/>
          </w:tcPr>
          <w:p w14:paraId="2363B5DE">
            <w:pPr>
              <w:widowControl/>
              <w:spacing w:line="0" w:lineRule="atLeast"/>
              <w:ind w:firstLine="480" w:firstLineChars="20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</w:p>
        </w:tc>
        <w:tc>
          <w:tcPr>
            <w:tcW w:w="945" w:type="dxa"/>
            <w:vMerge w:val="continue"/>
            <w:noWrap w:val="0"/>
            <w:vAlign w:val="center"/>
          </w:tcPr>
          <w:p w14:paraId="6DF1BDB2">
            <w:pPr>
              <w:spacing w:line="400" w:lineRule="exact"/>
              <w:ind w:firstLine="0" w:firstLineChars="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</w:p>
        </w:tc>
      </w:tr>
      <w:tr w14:paraId="17A30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2520" w:type="dxa"/>
            <w:tcBorders>
              <w:top w:val="single" w:color="auto" w:sz="4" w:space="0"/>
            </w:tcBorders>
            <w:noWrap w:val="0"/>
            <w:vAlign w:val="center"/>
          </w:tcPr>
          <w:p w14:paraId="27541602">
            <w:pPr>
              <w:widowControl/>
              <w:spacing w:line="0" w:lineRule="atLeast"/>
              <w:ind w:firstLine="0" w:firstLineChars="0"/>
              <w:jc w:val="left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第三类：</w:t>
            </w:r>
          </w:p>
          <w:p w14:paraId="165632A3">
            <w:pPr>
              <w:widowControl/>
              <w:spacing w:line="0" w:lineRule="atLeast"/>
              <w:ind w:firstLine="0" w:firstLineChars="0"/>
              <w:jc w:val="left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非学区内光明户籍，学区内拥有合法产权房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val="en-US" w:eastAsia="zh-CN"/>
              </w:rPr>
              <w:t>监护人产权＞50%）</w:t>
            </w:r>
          </w:p>
        </w:tc>
        <w:tc>
          <w:tcPr>
            <w:tcW w:w="945" w:type="dxa"/>
            <w:tcBorders>
              <w:top w:val="single" w:color="auto" w:sz="4" w:space="0"/>
            </w:tcBorders>
            <w:noWrap w:val="0"/>
            <w:vAlign w:val="center"/>
          </w:tcPr>
          <w:p w14:paraId="61677E4B">
            <w:pPr>
              <w:spacing w:line="400" w:lineRule="exact"/>
              <w:ind w:firstLine="0" w:firstLineChars="0"/>
              <w:jc w:val="center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lang w:val="en-US" w:eastAsia="zh-CN"/>
              </w:rPr>
              <w:t>70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分</w:t>
            </w:r>
          </w:p>
        </w:tc>
        <w:tc>
          <w:tcPr>
            <w:tcW w:w="4500" w:type="dxa"/>
            <w:vMerge w:val="continue"/>
            <w:noWrap w:val="0"/>
            <w:vAlign w:val="center"/>
          </w:tcPr>
          <w:p w14:paraId="14C0C12A">
            <w:pPr>
              <w:widowControl/>
              <w:spacing w:line="0" w:lineRule="atLeast"/>
              <w:ind w:firstLine="480" w:firstLineChars="20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</w:p>
        </w:tc>
        <w:tc>
          <w:tcPr>
            <w:tcW w:w="945" w:type="dxa"/>
            <w:vMerge w:val="continue"/>
            <w:noWrap w:val="0"/>
            <w:vAlign w:val="center"/>
          </w:tcPr>
          <w:p w14:paraId="33175138">
            <w:pPr>
              <w:spacing w:line="400" w:lineRule="exact"/>
              <w:ind w:firstLine="0" w:firstLineChars="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</w:p>
        </w:tc>
      </w:tr>
      <w:tr w14:paraId="35449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1" w:hRule="atLeast"/>
        </w:trPr>
        <w:tc>
          <w:tcPr>
            <w:tcW w:w="2520" w:type="dxa"/>
            <w:noWrap w:val="0"/>
            <w:vAlign w:val="center"/>
          </w:tcPr>
          <w:p w14:paraId="7F8A3A17">
            <w:pPr>
              <w:widowControl/>
              <w:spacing w:line="0" w:lineRule="atLeast"/>
              <w:ind w:firstLine="0" w:firstLineChars="0"/>
              <w:jc w:val="left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第四类：</w:t>
            </w:r>
          </w:p>
          <w:p w14:paraId="2B513113">
            <w:pPr>
              <w:widowControl/>
              <w:spacing w:line="0" w:lineRule="atLeast"/>
              <w:ind w:firstLine="0" w:firstLineChars="0"/>
              <w:jc w:val="left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非学区内光明户籍，学区内租房或居住其他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住房</w:t>
            </w:r>
          </w:p>
        </w:tc>
        <w:tc>
          <w:tcPr>
            <w:tcW w:w="945" w:type="dxa"/>
            <w:noWrap w:val="0"/>
            <w:vAlign w:val="center"/>
          </w:tcPr>
          <w:p w14:paraId="0E958A32">
            <w:pPr>
              <w:spacing w:line="400" w:lineRule="exact"/>
              <w:ind w:firstLine="0" w:firstLineChars="0"/>
              <w:jc w:val="center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60分</w:t>
            </w:r>
          </w:p>
        </w:tc>
        <w:tc>
          <w:tcPr>
            <w:tcW w:w="4500" w:type="dxa"/>
            <w:vMerge w:val="continue"/>
            <w:noWrap w:val="0"/>
            <w:vAlign w:val="top"/>
          </w:tcPr>
          <w:p w14:paraId="0301863A">
            <w:pPr>
              <w:spacing w:line="400" w:lineRule="exact"/>
              <w:ind w:firstLine="480" w:firstLineChars="0"/>
              <w:jc w:val="both"/>
              <w:rPr>
                <w:rFonts w:ascii="仿宋_GB2312" w:hAnsi="宋体" w:eastAsia="仿宋_GB2312" w:cs="宋体"/>
                <w:color w:val="auto"/>
                <w:sz w:val="24"/>
              </w:rPr>
            </w:pPr>
          </w:p>
        </w:tc>
        <w:tc>
          <w:tcPr>
            <w:tcW w:w="945" w:type="dxa"/>
            <w:vMerge w:val="continue"/>
            <w:noWrap w:val="0"/>
            <w:vAlign w:val="top"/>
          </w:tcPr>
          <w:p w14:paraId="39500CF8">
            <w:pPr>
              <w:spacing w:line="400" w:lineRule="exact"/>
              <w:ind w:firstLine="480" w:firstLineChars="0"/>
              <w:jc w:val="center"/>
              <w:rPr>
                <w:rFonts w:ascii="仿宋_GB2312" w:hAnsi="宋体" w:eastAsia="仿宋_GB2312" w:cs="宋体"/>
                <w:color w:val="auto"/>
                <w:sz w:val="24"/>
              </w:rPr>
            </w:pPr>
          </w:p>
        </w:tc>
      </w:tr>
      <w:tr w14:paraId="7B7E0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3" w:hRule="atLeast"/>
        </w:trPr>
        <w:tc>
          <w:tcPr>
            <w:tcW w:w="2520" w:type="dxa"/>
            <w:noWrap w:val="0"/>
            <w:vAlign w:val="center"/>
          </w:tcPr>
          <w:p w14:paraId="291BD94D">
            <w:pPr>
              <w:widowControl/>
              <w:spacing w:line="0" w:lineRule="atLeast"/>
              <w:ind w:firstLine="0" w:firstLineChars="0"/>
              <w:jc w:val="left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第五类：</w:t>
            </w:r>
          </w:p>
          <w:p w14:paraId="12405047">
            <w:pPr>
              <w:widowControl/>
              <w:spacing w:line="0" w:lineRule="atLeast"/>
              <w:ind w:firstLine="0" w:firstLineChars="0"/>
              <w:jc w:val="left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深圳市其他区户籍，学区内拥有合法产权房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val="en-US" w:eastAsia="zh-CN"/>
              </w:rPr>
              <w:t>监护人产权＞50%）</w:t>
            </w:r>
          </w:p>
        </w:tc>
        <w:tc>
          <w:tcPr>
            <w:tcW w:w="945" w:type="dxa"/>
            <w:noWrap w:val="0"/>
            <w:vAlign w:val="center"/>
          </w:tcPr>
          <w:p w14:paraId="14A82287">
            <w:pPr>
              <w:spacing w:line="400" w:lineRule="exact"/>
              <w:ind w:firstLine="0" w:firstLineChars="0"/>
              <w:jc w:val="center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lang w:val="en-US" w:eastAsia="zh-CN"/>
              </w:rPr>
              <w:t>50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分</w:t>
            </w:r>
          </w:p>
        </w:tc>
        <w:tc>
          <w:tcPr>
            <w:tcW w:w="4500" w:type="dxa"/>
            <w:vMerge w:val="restart"/>
            <w:noWrap w:val="0"/>
            <w:vAlign w:val="top"/>
          </w:tcPr>
          <w:p w14:paraId="4A5088DA">
            <w:pPr>
              <w:widowControl/>
              <w:spacing w:line="0" w:lineRule="atLeast"/>
              <w:ind w:firstLine="482" w:firstLineChars="200"/>
              <w:jc w:val="both"/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</w:rPr>
              <w:t>1.入户时长加分：</w:t>
            </w:r>
          </w:p>
          <w:p w14:paraId="362249C6">
            <w:pPr>
              <w:widowControl/>
              <w:spacing w:line="0" w:lineRule="atLeast"/>
              <w:ind w:firstLine="480" w:firstLineChars="20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以适龄儿童、少年父母（监护人）一方户口迁入深圳市时长积分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，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0.1分/月。</w:t>
            </w:r>
          </w:p>
          <w:p w14:paraId="507D229A">
            <w:pPr>
              <w:widowControl/>
              <w:spacing w:line="0" w:lineRule="atLeast"/>
              <w:ind w:firstLine="482" w:firstLineChars="200"/>
              <w:jc w:val="both"/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</w:rPr>
              <w:t>2. 住房加分：</w:t>
            </w:r>
          </w:p>
          <w:p w14:paraId="702C6A66">
            <w:pPr>
              <w:widowControl/>
              <w:spacing w:line="0" w:lineRule="atLeast"/>
              <w:ind w:firstLine="480" w:firstLineChars="20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1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拥有合法产权房（用途为住宅）的，以购房合同的备案日期，或房地产证、不动产权证登记的购房日期，或与政府（职能部门）签订的政策性住房协议的签订日期开始积分，0.1分/月。</w:t>
            </w:r>
          </w:p>
          <w:p w14:paraId="79DAA7C9">
            <w:pPr>
              <w:widowControl/>
              <w:spacing w:line="0" w:lineRule="atLeast"/>
              <w:ind w:firstLine="480" w:firstLineChars="200"/>
              <w:jc w:val="both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2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租房（用途为住宅）的，以《房屋租赁凭证》（红本）的发证日期，或与政府（职能部门）签订的政策性住房租赁协议的签订日期开始积分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，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0.1分/月。</w:t>
            </w:r>
          </w:p>
          <w:p w14:paraId="793FC816">
            <w:pPr>
              <w:widowControl/>
              <w:spacing w:line="0" w:lineRule="atLeast"/>
              <w:ind w:firstLine="480" w:firstLineChars="200"/>
              <w:jc w:val="both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注：承租人需为监护人。</w:t>
            </w:r>
          </w:p>
        </w:tc>
        <w:tc>
          <w:tcPr>
            <w:tcW w:w="945" w:type="dxa"/>
            <w:vMerge w:val="continue"/>
            <w:noWrap w:val="0"/>
            <w:vAlign w:val="top"/>
          </w:tcPr>
          <w:p w14:paraId="08DD4A46">
            <w:pPr>
              <w:spacing w:line="400" w:lineRule="exact"/>
              <w:ind w:firstLine="480" w:firstLineChars="0"/>
              <w:jc w:val="center"/>
              <w:rPr>
                <w:rFonts w:ascii="仿宋_GB2312" w:hAnsi="宋体" w:eastAsia="仿宋_GB2312" w:cs="宋体"/>
                <w:color w:val="auto"/>
                <w:sz w:val="24"/>
              </w:rPr>
            </w:pPr>
          </w:p>
        </w:tc>
      </w:tr>
      <w:tr w14:paraId="13D4F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</w:trPr>
        <w:tc>
          <w:tcPr>
            <w:tcW w:w="2520" w:type="dxa"/>
            <w:noWrap w:val="0"/>
            <w:vAlign w:val="center"/>
          </w:tcPr>
          <w:p w14:paraId="7ECBB85E">
            <w:pPr>
              <w:widowControl/>
              <w:spacing w:line="0" w:lineRule="atLeast"/>
              <w:ind w:firstLine="0" w:firstLineChars="0"/>
              <w:jc w:val="left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第六类：</w:t>
            </w:r>
          </w:p>
          <w:p w14:paraId="0E67746D">
            <w:pPr>
              <w:widowControl/>
              <w:spacing w:line="0" w:lineRule="atLeast"/>
              <w:ind w:firstLine="0" w:firstLineChars="0"/>
              <w:jc w:val="left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深圳市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其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</w:rPr>
              <w:t>他区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户籍，学区内租房或居住其他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住房</w:t>
            </w:r>
          </w:p>
        </w:tc>
        <w:tc>
          <w:tcPr>
            <w:tcW w:w="945" w:type="dxa"/>
            <w:noWrap w:val="0"/>
            <w:vAlign w:val="center"/>
          </w:tcPr>
          <w:p w14:paraId="68D21CF2">
            <w:pPr>
              <w:spacing w:line="400" w:lineRule="exact"/>
              <w:ind w:firstLine="0" w:firstLineChars="0"/>
              <w:jc w:val="center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lang w:val="en-US" w:eastAsia="zh-CN"/>
              </w:rPr>
              <w:t>40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分</w:t>
            </w:r>
          </w:p>
        </w:tc>
        <w:tc>
          <w:tcPr>
            <w:tcW w:w="4500" w:type="dxa"/>
            <w:vMerge w:val="continue"/>
            <w:noWrap w:val="0"/>
            <w:vAlign w:val="top"/>
          </w:tcPr>
          <w:p w14:paraId="0C9E2AC7">
            <w:pPr>
              <w:spacing w:line="400" w:lineRule="exact"/>
              <w:ind w:firstLine="480" w:firstLineChars="0"/>
              <w:jc w:val="both"/>
              <w:rPr>
                <w:rFonts w:ascii="仿宋_GB2312" w:hAnsi="宋体" w:eastAsia="仿宋_GB2312" w:cs="宋体"/>
                <w:color w:val="auto"/>
                <w:sz w:val="24"/>
              </w:rPr>
            </w:pPr>
          </w:p>
        </w:tc>
        <w:tc>
          <w:tcPr>
            <w:tcW w:w="945" w:type="dxa"/>
            <w:vMerge w:val="continue"/>
            <w:noWrap w:val="0"/>
            <w:vAlign w:val="top"/>
          </w:tcPr>
          <w:p w14:paraId="7F759AFF">
            <w:pPr>
              <w:spacing w:line="400" w:lineRule="exact"/>
              <w:ind w:firstLine="480" w:firstLineChars="0"/>
              <w:jc w:val="center"/>
              <w:rPr>
                <w:rFonts w:ascii="仿宋_GB2312" w:hAnsi="宋体" w:eastAsia="仿宋_GB2312" w:cs="宋体"/>
                <w:color w:val="auto"/>
                <w:sz w:val="24"/>
              </w:rPr>
            </w:pPr>
          </w:p>
        </w:tc>
      </w:tr>
      <w:tr w14:paraId="3F1DC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7" w:hRule="atLeast"/>
        </w:trPr>
        <w:tc>
          <w:tcPr>
            <w:tcW w:w="2520" w:type="dxa"/>
            <w:noWrap w:val="0"/>
            <w:vAlign w:val="center"/>
          </w:tcPr>
          <w:p w14:paraId="7D49A6F1">
            <w:pPr>
              <w:widowControl/>
              <w:spacing w:line="0" w:lineRule="atLeast"/>
              <w:ind w:firstLine="0" w:firstLineChars="0"/>
              <w:jc w:val="left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第七类：</w:t>
            </w:r>
          </w:p>
          <w:p w14:paraId="07DB8EED">
            <w:pPr>
              <w:widowControl/>
              <w:spacing w:line="0" w:lineRule="atLeast"/>
              <w:ind w:firstLine="0" w:firstLineChars="0"/>
              <w:jc w:val="left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非深圳户籍，学区内拥有合法产权房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val="en-US" w:eastAsia="zh-CN"/>
              </w:rPr>
              <w:t>监护人产权＞50%）</w:t>
            </w:r>
          </w:p>
        </w:tc>
        <w:tc>
          <w:tcPr>
            <w:tcW w:w="945" w:type="dxa"/>
            <w:noWrap w:val="0"/>
            <w:vAlign w:val="center"/>
          </w:tcPr>
          <w:p w14:paraId="3D0F4DE8">
            <w:pPr>
              <w:spacing w:line="400" w:lineRule="exact"/>
              <w:ind w:firstLine="0" w:firstLineChars="0"/>
              <w:jc w:val="center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lang w:val="en-US" w:eastAsia="zh-CN"/>
              </w:rPr>
              <w:t>30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分</w:t>
            </w:r>
          </w:p>
        </w:tc>
        <w:tc>
          <w:tcPr>
            <w:tcW w:w="4500" w:type="dxa"/>
            <w:vMerge w:val="restart"/>
            <w:noWrap w:val="0"/>
            <w:vAlign w:val="center"/>
          </w:tcPr>
          <w:p w14:paraId="5310F98E">
            <w:pPr>
              <w:widowControl/>
              <w:spacing w:line="0" w:lineRule="atLeast"/>
              <w:ind w:firstLine="482" w:firstLineChars="200"/>
              <w:jc w:val="both"/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</w:rPr>
              <w:t>1.住房加分：</w:t>
            </w:r>
          </w:p>
          <w:p w14:paraId="0603A2A1">
            <w:pPr>
              <w:widowControl/>
              <w:spacing w:line="0" w:lineRule="atLeast"/>
              <w:ind w:firstLine="480" w:firstLineChars="200"/>
              <w:jc w:val="both"/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1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拥有合法产权房（用途为住宅）的，以购房合同的备案日期，或房地产证、不动产权证登记的购房日期，或与政府（职能部门）签订的政策性住房协议的签订日期开始积分，0.1分/月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。</w:t>
            </w:r>
          </w:p>
          <w:p w14:paraId="21B81B31">
            <w:pPr>
              <w:widowControl/>
              <w:spacing w:line="0" w:lineRule="atLeast"/>
              <w:ind w:firstLine="480" w:firstLineChars="200"/>
              <w:jc w:val="both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2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租房（用途为住宅）的，以《房屋租赁凭证》（红本）的发证日期，或与政府（职能部门）签订的政策性住房租赁协议的签订日期开始积分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，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0.1分/月。</w:t>
            </w:r>
          </w:p>
          <w:p w14:paraId="0DB043A3">
            <w:pPr>
              <w:widowControl/>
              <w:spacing w:line="0" w:lineRule="atLeast"/>
              <w:ind w:firstLine="480" w:firstLineChars="20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注：承租人需为监护人。</w:t>
            </w:r>
          </w:p>
          <w:p w14:paraId="4EE4DB64">
            <w:pPr>
              <w:widowControl/>
              <w:spacing w:line="0" w:lineRule="atLeast"/>
              <w:ind w:firstLine="482" w:firstLineChars="200"/>
              <w:jc w:val="both"/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</w:rPr>
              <w:t>2.社保加分</w:t>
            </w:r>
            <w:r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  <w:lang w:eastAsia="zh-CN"/>
              </w:rPr>
              <w:t>：</w:t>
            </w:r>
          </w:p>
          <w:p w14:paraId="2A0182AA">
            <w:pPr>
              <w:widowControl/>
              <w:spacing w:line="0" w:lineRule="atLeast"/>
              <w:ind w:firstLine="480" w:firstLineChars="20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以家长一方社保为依据，选取养老险和医疗险同时缴纳时间计算积分（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截至入学当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年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val="en-US" w:eastAsia="zh-CN"/>
              </w:rPr>
              <w:t>4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月），补缴的不算积分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，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0.1分/月。</w:t>
            </w:r>
          </w:p>
          <w:p w14:paraId="16D4DBF6">
            <w:pPr>
              <w:widowControl/>
              <w:spacing w:line="0" w:lineRule="atLeast"/>
              <w:ind w:firstLine="482" w:firstLineChars="200"/>
              <w:jc w:val="both"/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  <w:lang w:val="en-US" w:eastAsia="zh-CN"/>
              </w:rPr>
              <w:t>3</w:t>
            </w:r>
            <w:r>
              <w:rPr>
                <w:rFonts w:hint="eastAsia" w:ascii="仿宋_GB2312" w:hAnsi="宋体" w:eastAsia="仿宋_GB2312" w:cs="宋体"/>
                <w:b/>
                <w:bCs/>
                <w:color w:val="auto"/>
                <w:sz w:val="24"/>
              </w:rPr>
              <w:t>.双居住证加分：</w:t>
            </w:r>
          </w:p>
          <w:p w14:paraId="1EA394C5">
            <w:pPr>
              <w:widowControl/>
              <w:spacing w:line="0" w:lineRule="atLeast"/>
              <w:ind w:firstLine="480" w:firstLineChars="200"/>
              <w:jc w:val="both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非深户籍适龄儿童、少年父母（监护人）双方均持有具有使用功能的居住证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  <w:lang w:val="en-US" w:eastAsia="zh-CN"/>
              </w:rPr>
              <w:t>或一方持有具有使用功能的居住证，另一方为深户）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加1分。</w:t>
            </w:r>
          </w:p>
        </w:tc>
        <w:tc>
          <w:tcPr>
            <w:tcW w:w="945" w:type="dxa"/>
            <w:vMerge w:val="restart"/>
            <w:noWrap w:val="0"/>
            <w:vAlign w:val="top"/>
          </w:tcPr>
          <w:p w14:paraId="43F8B4CB">
            <w:pPr>
              <w:spacing w:line="400" w:lineRule="exact"/>
              <w:ind w:firstLine="480" w:firstLineChars="0"/>
              <w:jc w:val="center"/>
              <w:rPr>
                <w:rFonts w:ascii="仿宋_GB2312" w:hAnsi="宋体" w:eastAsia="仿宋_GB2312" w:cs="宋体"/>
                <w:color w:val="auto"/>
                <w:sz w:val="24"/>
              </w:rPr>
            </w:pPr>
          </w:p>
        </w:tc>
      </w:tr>
      <w:tr w14:paraId="2F3D3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1" w:hRule="atLeast"/>
        </w:trPr>
        <w:tc>
          <w:tcPr>
            <w:tcW w:w="2520" w:type="dxa"/>
            <w:noWrap w:val="0"/>
            <w:vAlign w:val="center"/>
          </w:tcPr>
          <w:p w14:paraId="0A153B3B">
            <w:pPr>
              <w:widowControl/>
              <w:spacing w:line="0" w:lineRule="atLeast"/>
              <w:ind w:firstLine="0" w:firstLineChars="0"/>
              <w:jc w:val="left"/>
              <w:rPr>
                <w:rFonts w:hint="eastAsia"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第八类：</w:t>
            </w:r>
          </w:p>
          <w:p w14:paraId="7464A692">
            <w:pPr>
              <w:widowControl/>
              <w:spacing w:line="0" w:lineRule="atLeast"/>
              <w:ind w:firstLine="0" w:firstLineChars="0"/>
              <w:jc w:val="left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非深圳户籍，学区内租房或居住其他住房</w:t>
            </w:r>
          </w:p>
        </w:tc>
        <w:tc>
          <w:tcPr>
            <w:tcW w:w="945" w:type="dxa"/>
            <w:noWrap w:val="0"/>
            <w:vAlign w:val="center"/>
          </w:tcPr>
          <w:p w14:paraId="43E8F6A5">
            <w:pPr>
              <w:spacing w:line="400" w:lineRule="exact"/>
              <w:ind w:firstLine="0" w:firstLineChars="0"/>
              <w:jc w:val="center"/>
              <w:rPr>
                <w:rFonts w:ascii="仿宋_GB2312" w:hAnsi="宋体" w:eastAsia="仿宋_GB2312" w:cs="宋体"/>
                <w:color w:val="auto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4"/>
                <w:lang w:val="en-US" w:eastAsia="zh-CN"/>
              </w:rPr>
              <w:t>20</w:t>
            </w:r>
            <w:r>
              <w:rPr>
                <w:rFonts w:hint="eastAsia" w:ascii="仿宋_GB2312" w:hAnsi="宋体" w:eastAsia="仿宋_GB2312" w:cs="宋体"/>
                <w:color w:val="auto"/>
                <w:sz w:val="24"/>
              </w:rPr>
              <w:t>分</w:t>
            </w:r>
          </w:p>
        </w:tc>
        <w:tc>
          <w:tcPr>
            <w:tcW w:w="4500" w:type="dxa"/>
            <w:vMerge w:val="continue"/>
            <w:noWrap w:val="0"/>
            <w:vAlign w:val="top"/>
          </w:tcPr>
          <w:p w14:paraId="0994CBDA">
            <w:pPr>
              <w:spacing w:line="400" w:lineRule="exact"/>
              <w:ind w:firstLine="480" w:firstLineChars="0"/>
              <w:jc w:val="left"/>
              <w:rPr>
                <w:rFonts w:ascii="仿宋_GB2312" w:hAnsi="宋体" w:eastAsia="仿宋_GB2312" w:cs="宋体"/>
                <w:color w:val="auto"/>
                <w:sz w:val="24"/>
              </w:rPr>
            </w:pPr>
          </w:p>
        </w:tc>
        <w:tc>
          <w:tcPr>
            <w:tcW w:w="945" w:type="dxa"/>
            <w:vMerge w:val="continue"/>
            <w:noWrap w:val="0"/>
            <w:vAlign w:val="top"/>
          </w:tcPr>
          <w:p w14:paraId="59F2744C">
            <w:pPr>
              <w:spacing w:line="400" w:lineRule="exact"/>
              <w:ind w:firstLine="480" w:firstLineChars="0"/>
              <w:jc w:val="left"/>
              <w:rPr>
                <w:rFonts w:ascii="仿宋_GB2312" w:hAnsi="宋体" w:eastAsia="仿宋_GB2312" w:cs="宋体"/>
                <w:color w:val="auto"/>
                <w:sz w:val="24"/>
              </w:rPr>
            </w:pPr>
          </w:p>
        </w:tc>
      </w:tr>
    </w:tbl>
    <w:p w14:paraId="4653BD69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备注：</w:t>
      </w:r>
    </w:p>
    <w:p w14:paraId="060B10D7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（一）尾数超过15天按1月计算，不满15天按半月计算。积分计算截止日期为申请入学当年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月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val="en-US" w:eastAsia="zh-CN"/>
        </w:rPr>
        <w:t>30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日。</w:t>
      </w:r>
    </w:p>
    <w:p w14:paraId="51FEA197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（二）学区内光明户籍：指的是适龄儿童、少年户籍地址在学区内。</w:t>
      </w:r>
    </w:p>
    <w:p w14:paraId="068E7B9A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（三）申请学位的住房需为家庭实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val="en-US" w:eastAsia="zh-CN"/>
        </w:rPr>
        <w:t>际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居住，申请人所提供的住房证明材料需同实际居住地一致，没有实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val="en-US" w:eastAsia="zh-CN"/>
        </w:rPr>
        <w:t>际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居住的住房材料不能用于学位申请。</w:t>
      </w:r>
    </w:p>
    <w:p w14:paraId="4DFF6566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宋体" w:eastAsia="仿宋_GB2312" w:cs="宋体"/>
          <w:color w:val="auto"/>
          <w:sz w:val="32"/>
          <w:szCs w:val="32"/>
          <w:u w:val="none"/>
          <w:shd w:val="clear" w:color="auto" w:fill="FFFFFF"/>
        </w:rPr>
      </w:pP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（四）</w:t>
      </w:r>
      <w:r>
        <w:rPr>
          <w:rFonts w:hint="eastAsia" w:ascii="仿宋_GB2312" w:hAnsi="宋体" w:eastAsia="仿宋_GB2312" w:cs="宋体"/>
          <w:color w:val="auto"/>
          <w:sz w:val="32"/>
          <w:szCs w:val="32"/>
          <w:u w:val="none"/>
          <w:shd w:val="clear" w:color="auto" w:fill="FFFFFF"/>
        </w:rPr>
        <w:t>其他住房是指拥有合法产权房和租房</w:t>
      </w:r>
      <w:r>
        <w:rPr>
          <w:rFonts w:hint="eastAsia" w:ascii="仿宋_GB2312" w:hAnsi="宋体" w:eastAsia="仿宋_GB2312" w:cs="宋体"/>
          <w:i w:val="0"/>
          <w:iCs w:val="0"/>
          <w:color w:val="auto"/>
          <w:sz w:val="32"/>
          <w:szCs w:val="32"/>
          <w:u w:val="none"/>
          <w:shd w:val="clear" w:color="auto" w:fill="FFFFFF"/>
        </w:rPr>
        <w:t>（持有红本《房屋租赁凭证》）</w:t>
      </w:r>
      <w:r>
        <w:rPr>
          <w:rFonts w:hint="eastAsia" w:ascii="仿宋_GB2312" w:hAnsi="宋体" w:eastAsia="仿宋_GB2312" w:cs="宋体"/>
          <w:color w:val="auto"/>
          <w:sz w:val="32"/>
          <w:szCs w:val="32"/>
          <w:u w:val="none"/>
          <w:shd w:val="clear" w:color="auto" w:fill="FFFFFF"/>
        </w:rPr>
        <w:t>之外的其他类型的住房，其中光明户籍拥有如下特殊住房可计算居住时长加分：</w:t>
      </w:r>
    </w:p>
    <w:p w14:paraId="6F4CC04E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宋体" w:eastAsia="仿宋_GB2312" w:cs="宋体"/>
          <w:color w:val="auto"/>
          <w:sz w:val="32"/>
          <w:szCs w:val="32"/>
          <w:u w:val="none"/>
          <w:shd w:val="clear" w:color="auto" w:fill="FFFFFF"/>
        </w:rPr>
      </w:pPr>
      <w:r>
        <w:rPr>
          <w:rFonts w:hint="eastAsia" w:ascii="仿宋_GB2312" w:hAnsi="宋体" w:eastAsia="仿宋_GB2312" w:cs="宋体"/>
          <w:color w:val="auto"/>
          <w:sz w:val="32"/>
          <w:szCs w:val="32"/>
          <w:u w:val="none"/>
          <w:shd w:val="clear" w:color="auto" w:fill="FFFFFF"/>
        </w:rPr>
        <w:t>1.祖屋：提供辖区居委会开具的证明材料；</w:t>
      </w:r>
    </w:p>
    <w:p w14:paraId="4A4F0967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宋体" w:eastAsia="仿宋_GB2312" w:cs="宋体"/>
          <w:color w:val="auto"/>
          <w:sz w:val="32"/>
          <w:szCs w:val="32"/>
          <w:u w:val="none"/>
          <w:shd w:val="clear" w:color="auto" w:fill="FFFFFF"/>
        </w:rPr>
      </w:pPr>
      <w:r>
        <w:rPr>
          <w:rFonts w:hint="eastAsia" w:ascii="仿宋_GB2312" w:hAnsi="宋体" w:eastAsia="仿宋_GB2312" w:cs="宋体"/>
          <w:color w:val="auto"/>
          <w:sz w:val="32"/>
          <w:szCs w:val="32"/>
          <w:u w:val="none"/>
          <w:shd w:val="clear" w:color="auto" w:fill="FFFFFF"/>
        </w:rPr>
        <w:t>2.自建房：取得《深圳市农村城市化历史遗留违法建筑普查申报收件回执》，并由辖区居委会开具证明；</w:t>
      </w:r>
    </w:p>
    <w:p w14:paraId="108E69CF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宋体" w:eastAsia="仿宋_GB2312" w:cs="宋体"/>
          <w:color w:val="auto"/>
          <w:sz w:val="32"/>
          <w:szCs w:val="32"/>
          <w:u w:val="none"/>
          <w:shd w:val="clear" w:color="auto" w:fill="FFFFFF"/>
        </w:rPr>
      </w:pPr>
      <w:r>
        <w:rPr>
          <w:rFonts w:hint="eastAsia" w:ascii="仿宋_GB2312" w:hAnsi="宋体" w:eastAsia="仿宋_GB2312" w:cs="宋体"/>
          <w:color w:val="auto"/>
          <w:sz w:val="32"/>
          <w:szCs w:val="32"/>
          <w:u w:val="none"/>
          <w:shd w:val="clear" w:color="auto" w:fill="FFFFFF"/>
        </w:rPr>
        <w:t>3.集资房：</w:t>
      </w:r>
      <w:r>
        <w:rPr>
          <w:rFonts w:hint="eastAsia" w:ascii="仿宋_GB2312" w:hAnsi="宋体" w:eastAsia="仿宋_GB2312" w:cs="宋体"/>
          <w:i w:val="0"/>
          <w:iCs w:val="0"/>
          <w:color w:val="auto"/>
          <w:sz w:val="32"/>
          <w:szCs w:val="32"/>
          <w:u w:val="none"/>
          <w:shd w:val="clear" w:color="auto" w:fill="FFFFFF"/>
        </w:rPr>
        <w:t>提供与集资单位签订的购房合同或收据，并</w:t>
      </w:r>
      <w:r>
        <w:rPr>
          <w:rFonts w:hint="eastAsia" w:ascii="仿宋_GB2312" w:hAnsi="宋体" w:eastAsia="仿宋_GB2312" w:cs="宋体"/>
          <w:color w:val="auto"/>
          <w:sz w:val="32"/>
          <w:szCs w:val="32"/>
          <w:u w:val="none"/>
          <w:shd w:val="clear" w:color="auto" w:fill="FFFFFF"/>
        </w:rPr>
        <w:t>由辖区居委会开具证明。</w:t>
      </w:r>
    </w:p>
    <w:p w14:paraId="64CA821D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（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val="en-US" w:eastAsia="zh-CN"/>
        </w:rPr>
        <w:t>五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）学位类别以学位申请时核定为准，通过学校初审后将不予变更。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eastAsia="zh-CN"/>
        </w:rPr>
        <w:t>中国台湾地区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户籍儿童、少年与深圳市其他区户籍儿童、少年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eastAsia="zh-CN"/>
        </w:rPr>
        <w:t>享受同等待遇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；非深圳户籍儿童、少年包括港澳户籍儿童、少年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eastAsia="zh-CN"/>
        </w:rPr>
        <w:t>。</w:t>
      </w:r>
    </w:p>
    <w:p w14:paraId="33CD097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default" w:ascii="仿宋_GB2312" w:hAnsi="宋体" w:eastAsia="仿宋_GB2312" w:cs="宋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（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val="en-US" w:eastAsia="zh-CN"/>
        </w:rPr>
        <w:t>六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）中山大学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val="en-US" w:eastAsia="zh-CN"/>
        </w:rPr>
        <w:t>深圳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附属学校首先面向中山大学深圳校区全职在编教职工子女（含中山大学附属第七医院职工子女）招生，剩余学位供学区内其他适龄儿童、少年积分入学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eastAsia="zh-CN"/>
        </w:rPr>
        <w:t>。</w:t>
      </w:r>
    </w:p>
    <w:p w14:paraId="3C91D3DA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）烈士子女、符合条件的现役军人子女及复退军人子女、消防救援队伍人员子女、公安英模和因公牺牲伤残警察子女等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eastAsia="zh-CN"/>
        </w:rPr>
        <w:t>享受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优待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  <w:lang w:eastAsia="zh-CN"/>
        </w:rPr>
        <w:t>政策人员的子女，按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相关政策落实公办学位。</w:t>
      </w:r>
    </w:p>
    <w:p w14:paraId="61A479D7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shd w:val="clear" w:color="auto" w:fill="FFFFFF"/>
        </w:rPr>
        <w:t>第三条</w:t>
      </w:r>
      <w:r>
        <w:rPr>
          <w:rFonts w:hint="eastAsia" w:ascii="仿宋_GB2312" w:hAnsi="宋体" w:eastAsia="仿宋_GB2312" w:cs="宋体"/>
          <w:color w:val="auto"/>
          <w:sz w:val="32"/>
          <w:szCs w:val="32"/>
        </w:rPr>
        <w:t> 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每位符合条件的适龄儿童需填报三个志愿：第一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eastAsia="zh-CN"/>
        </w:rPr>
        <w:t>、第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二志愿可填报公办学校或民办学校，第三志愿为民办学校志愿，必须填报。公办学校志愿需按学区填报，民办学校学区为光明区范围。第一志愿信息计算的学位类别和积分，将作为招生录取依据。家长填报材料完成后，招生系统根据第一志愿信息自动计算适龄儿童、少年的初步学位类别和积分，最终学位类别、积分以各职能部门审核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eastAsia="zh-CN"/>
        </w:rPr>
        <w:t>为准。</w:t>
      </w:r>
    </w:p>
    <w:p w14:paraId="7CABBA5C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shd w:val="clear" w:color="auto" w:fill="FFFFFF"/>
          <w:lang w:val="en-US" w:eastAsia="zh-CN"/>
        </w:rPr>
        <w:t xml:space="preserve">第四条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color="auto" w:fill="FFFFFF"/>
          <w:lang w:val="en-US" w:eastAsia="zh-CN"/>
        </w:rPr>
        <w:t>义务教育学校招生按照以下办法录取。</w:t>
      </w:r>
    </w:p>
    <w:p w14:paraId="70A4C4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义务教育学校招生遵循“类别积分优先，依照志愿顺序”的原则进行录取。</w:t>
      </w:r>
    </w:p>
    <w:p w14:paraId="1683D2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（一）第一至第二志愿录取。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生系统先将所有学生按照学位类型顺序和积分的高低顺序排队，第一类＞第二类＞第三类＞第四类＞第五类＞第六类＞第七类＞第八类。相同学位类型，按积分由高到低排序，按照“类别积分优先，依照志愿顺序”的原则进行录取。即，首先从排第一位的学生开始筛选录取，检索该学生第一志愿，第一志愿有空余学位，则录取到该学校；其次检索排第二位的学生，按其志愿顺序检索，录取到尚有空余学位的志愿学校；以此类推，检索每个学生的第一、第二志愿，当第一志愿学校已经录取满，检索第二志愿学校。如果检索学生两个志愿后，志愿学校学位均已录取满，则参与下一批次公办学校补充录取及第三志愿（民办学校志愿）录取。</w:t>
      </w:r>
    </w:p>
    <w:p w14:paraId="2337AB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同分录取优先顺序：当多个申请人积分与录取分数相同且申请人数超过招生计划时，按如下顺序确定录取名单：（1）第一志愿＞第二志愿＞第三志愿。（2）志愿顺序相同时，深户以父母其中一方入深户时间长的优先录取（以户口簿显示的入深户时间为准）；非深圳户籍以父母其中一方缴纳深圳社保（养老保险或医疗保险）累计时间长的优先录取。如缴纳深圳社保（养老保险或医疗保险）累计时长相同，优先录取父母一方在光明区居住时间长的（以居住信息登记为准）。（3）如以上均相同，则以抽签的方式确定录取名单。</w:t>
      </w:r>
    </w:p>
    <w:p w14:paraId="69F1FD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（二）公办学校补充录取及第三志愿（民办学校志愿）录取。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一、第二志愿录取完成后，如所有公办学校均已完成招生计划，区教育局按家长所报第三志愿（民办学校志愿）进行录取。第一、第二志愿录取完成后，如果公办学校仍有空余学位，将面向全区未被录取的适龄儿童、少年征集志愿，进行补充录取；仍未被录取的，区教育局按家长所报第三志愿（民办学校志愿）进行录取。</w:t>
      </w:r>
    </w:p>
    <w:p w14:paraId="15E238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（三）民办学校补充录取。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资料审核合格</w:t>
      </w: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且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所有志愿均未被录取的，适龄儿童家长可联系仍有空余学位的民办学校，由相应学校报区教育局补充录取。</w:t>
      </w:r>
    </w:p>
    <w:p w14:paraId="199AB136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shd w:val="clear" w:color="auto" w:fill="FFFFFF"/>
        </w:rPr>
        <w:t>第五条</w:t>
      </w:r>
      <w:r>
        <w:rPr>
          <w:rFonts w:hint="eastAsia" w:ascii="仿宋_GB2312" w:hAnsi="宋体" w:eastAsia="仿宋_GB2312" w:cs="宋体"/>
          <w:color w:val="auto"/>
          <w:sz w:val="32"/>
          <w:szCs w:val="32"/>
        </w:rPr>
        <w:t> 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材料审核不合格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eastAsia="zh-CN"/>
        </w:rPr>
        <w:t>或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未按光明区</w:t>
      </w:r>
      <w:r>
        <w:rPr>
          <w:rFonts w:hint="eastAsia" w:ascii="Calibri" w:hAnsi="Calibri" w:eastAsia="仿宋_GB2312" w:cs="宋体"/>
          <w:color w:val="auto"/>
          <w:sz w:val="32"/>
          <w:szCs w:val="32"/>
          <w:shd w:val="clear" w:color="auto" w:fill="FFFFFF"/>
        </w:rPr>
        <w:t>教育局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通知要求的时间提交有关证明材料的，不参加学位派位。</w:t>
      </w:r>
    </w:p>
    <w:p w14:paraId="5A954C0C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left"/>
        <w:textAlignment w:val="auto"/>
        <w:rPr>
          <w:color w:val="auto"/>
        </w:rPr>
      </w:pPr>
      <w:r>
        <w:rPr>
          <w:rFonts w:hint="eastAsia" w:ascii="仿宋_GB2312" w:hAnsi="宋体" w:eastAsia="仿宋_GB2312" w:cs="宋体"/>
          <w:b/>
          <w:bCs/>
          <w:color w:val="auto"/>
          <w:sz w:val="32"/>
          <w:szCs w:val="32"/>
          <w:shd w:val="clear" w:color="auto" w:fill="FFFFFF"/>
        </w:rPr>
        <w:t>第六条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</w:rPr>
        <w:t> 本办法最终解释权归光明区教育局</w:t>
      </w:r>
      <w:r>
        <w:rPr>
          <w:rFonts w:hint="eastAsia" w:ascii="仿宋_GB2312" w:hAnsi="宋体" w:eastAsia="仿宋_GB2312" w:cs="宋体"/>
          <w:color w:val="auto"/>
          <w:sz w:val="32"/>
          <w:szCs w:val="32"/>
          <w:shd w:val="clear" w:color="auto" w:fill="FFFFFF"/>
          <w:lang w:eastAsia="zh-CN"/>
        </w:rPr>
        <w:t>。</w:t>
      </w:r>
    </w:p>
    <w:p w14:paraId="2239C495">
      <w:pPr>
        <w:rPr>
          <w:color w:val="auto"/>
        </w:rPr>
      </w:pPr>
    </w:p>
    <w:sectPr>
      <w:footerReference r:id="rId3" w:type="default"/>
      <w:footerReference r:id="rId4" w:type="even"/>
      <w:pgSz w:w="11906" w:h="16838"/>
      <w:pgMar w:top="2098" w:right="1474" w:bottom="1985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Tahoma">
    <w:altName w:val="DejaVu Sans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87B3B3">
    <w:pPr>
      <w:pStyle w:val="4"/>
      <w:framePr w:wrap="around" w:vAnchor="text" w:hAnchor="margin" w:xAlign="outside" w:y="1"/>
      <w:rPr>
        <w:rStyle w:val="9"/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Style w:val="9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9"/>
        <w:rFonts w:ascii="宋体" w:hAnsi="宋体"/>
        <w:sz w:val="28"/>
        <w:szCs w:val="28"/>
      </w:rPr>
      <w:t>- 2 -</w:t>
    </w:r>
    <w:r>
      <w:rPr>
        <w:rFonts w:ascii="宋体" w:hAnsi="宋体"/>
        <w:sz w:val="28"/>
        <w:szCs w:val="28"/>
      </w:rPr>
      <w:fldChar w:fldCharType="end"/>
    </w:r>
  </w:p>
  <w:p w14:paraId="1FCF9E43">
    <w:pPr>
      <w:pStyle w:val="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306AD2">
    <w:pPr>
      <w:pStyle w:val="4"/>
      <w:framePr w:wrap="around" w:vAnchor="text" w:hAnchor="margin" w:xAlign="outside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 w14:paraId="496F22E9">
    <w:pPr>
      <w:pStyle w:val="4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FF4"/>
    <w:rsid w:val="00010BAC"/>
    <w:rsid w:val="00010D0C"/>
    <w:rsid w:val="0001160C"/>
    <w:rsid w:val="00017838"/>
    <w:rsid w:val="00022A07"/>
    <w:rsid w:val="000247CD"/>
    <w:rsid w:val="00033128"/>
    <w:rsid w:val="00055114"/>
    <w:rsid w:val="00071137"/>
    <w:rsid w:val="000766CB"/>
    <w:rsid w:val="000811D1"/>
    <w:rsid w:val="000A1780"/>
    <w:rsid w:val="000A2156"/>
    <w:rsid w:val="000A44C8"/>
    <w:rsid w:val="000B057E"/>
    <w:rsid w:val="000B1D07"/>
    <w:rsid w:val="000B5A0E"/>
    <w:rsid w:val="000C1FC9"/>
    <w:rsid w:val="000C3370"/>
    <w:rsid w:val="000C7106"/>
    <w:rsid w:val="000D1C12"/>
    <w:rsid w:val="000D39FF"/>
    <w:rsid w:val="000F3478"/>
    <w:rsid w:val="000F64D3"/>
    <w:rsid w:val="000F6A2E"/>
    <w:rsid w:val="00103A5A"/>
    <w:rsid w:val="001044BC"/>
    <w:rsid w:val="001070ED"/>
    <w:rsid w:val="0011157C"/>
    <w:rsid w:val="00112549"/>
    <w:rsid w:val="001213FE"/>
    <w:rsid w:val="001330E7"/>
    <w:rsid w:val="0013525B"/>
    <w:rsid w:val="00141096"/>
    <w:rsid w:val="00157B1A"/>
    <w:rsid w:val="001811B4"/>
    <w:rsid w:val="00182FBF"/>
    <w:rsid w:val="00185D6E"/>
    <w:rsid w:val="001A0026"/>
    <w:rsid w:val="001A4CB8"/>
    <w:rsid w:val="001B1D3C"/>
    <w:rsid w:val="001D3BD9"/>
    <w:rsid w:val="001E730C"/>
    <w:rsid w:val="001F2BE8"/>
    <w:rsid w:val="001F3990"/>
    <w:rsid w:val="001F75D5"/>
    <w:rsid w:val="00200383"/>
    <w:rsid w:val="00211D6B"/>
    <w:rsid w:val="00212917"/>
    <w:rsid w:val="00215C93"/>
    <w:rsid w:val="0021694C"/>
    <w:rsid w:val="00217B63"/>
    <w:rsid w:val="002216BE"/>
    <w:rsid w:val="00223FF6"/>
    <w:rsid w:val="00232345"/>
    <w:rsid w:val="00232765"/>
    <w:rsid w:val="00242DBA"/>
    <w:rsid w:val="00257B9C"/>
    <w:rsid w:val="00273B8A"/>
    <w:rsid w:val="00282F88"/>
    <w:rsid w:val="00283259"/>
    <w:rsid w:val="00283CE7"/>
    <w:rsid w:val="002A4FF4"/>
    <w:rsid w:val="002A7BFA"/>
    <w:rsid w:val="002B059D"/>
    <w:rsid w:val="002D43E5"/>
    <w:rsid w:val="002D4F73"/>
    <w:rsid w:val="002D6BF6"/>
    <w:rsid w:val="002E3318"/>
    <w:rsid w:val="002E6D3D"/>
    <w:rsid w:val="002F6D0A"/>
    <w:rsid w:val="00300F5A"/>
    <w:rsid w:val="00305D90"/>
    <w:rsid w:val="003105B0"/>
    <w:rsid w:val="00314A5C"/>
    <w:rsid w:val="00326797"/>
    <w:rsid w:val="00330DB2"/>
    <w:rsid w:val="003511B4"/>
    <w:rsid w:val="0035310C"/>
    <w:rsid w:val="003622E3"/>
    <w:rsid w:val="00381676"/>
    <w:rsid w:val="003A34E2"/>
    <w:rsid w:val="003C118B"/>
    <w:rsid w:val="003C61CE"/>
    <w:rsid w:val="003D59DD"/>
    <w:rsid w:val="003E7B51"/>
    <w:rsid w:val="003F116F"/>
    <w:rsid w:val="003F198C"/>
    <w:rsid w:val="003F42C6"/>
    <w:rsid w:val="003F6886"/>
    <w:rsid w:val="004069C3"/>
    <w:rsid w:val="0041698C"/>
    <w:rsid w:val="004212D7"/>
    <w:rsid w:val="00424952"/>
    <w:rsid w:val="00425D82"/>
    <w:rsid w:val="00427790"/>
    <w:rsid w:val="004417A8"/>
    <w:rsid w:val="0044391F"/>
    <w:rsid w:val="004511FC"/>
    <w:rsid w:val="004600B6"/>
    <w:rsid w:val="00473273"/>
    <w:rsid w:val="0048145C"/>
    <w:rsid w:val="00481503"/>
    <w:rsid w:val="004825B9"/>
    <w:rsid w:val="00490F9F"/>
    <w:rsid w:val="00495D57"/>
    <w:rsid w:val="004A15A6"/>
    <w:rsid w:val="004A6941"/>
    <w:rsid w:val="004A79E4"/>
    <w:rsid w:val="004B54E0"/>
    <w:rsid w:val="004E4DA6"/>
    <w:rsid w:val="004E59B2"/>
    <w:rsid w:val="004F5900"/>
    <w:rsid w:val="0051632C"/>
    <w:rsid w:val="00516368"/>
    <w:rsid w:val="00526969"/>
    <w:rsid w:val="005536BB"/>
    <w:rsid w:val="00571391"/>
    <w:rsid w:val="005806F2"/>
    <w:rsid w:val="00582425"/>
    <w:rsid w:val="00597A3B"/>
    <w:rsid w:val="005A466D"/>
    <w:rsid w:val="005B38D7"/>
    <w:rsid w:val="005B5891"/>
    <w:rsid w:val="005B7BD1"/>
    <w:rsid w:val="005C6F0C"/>
    <w:rsid w:val="005D40C8"/>
    <w:rsid w:val="005E06B8"/>
    <w:rsid w:val="00603AB0"/>
    <w:rsid w:val="00611AEE"/>
    <w:rsid w:val="00617258"/>
    <w:rsid w:val="0062438B"/>
    <w:rsid w:val="00627467"/>
    <w:rsid w:val="0064126C"/>
    <w:rsid w:val="00641FE8"/>
    <w:rsid w:val="006516AC"/>
    <w:rsid w:val="006541E9"/>
    <w:rsid w:val="0067312D"/>
    <w:rsid w:val="0067759E"/>
    <w:rsid w:val="00682666"/>
    <w:rsid w:val="00685636"/>
    <w:rsid w:val="006868E5"/>
    <w:rsid w:val="006B04FA"/>
    <w:rsid w:val="006B215B"/>
    <w:rsid w:val="006B333A"/>
    <w:rsid w:val="006B5E41"/>
    <w:rsid w:val="006C0C85"/>
    <w:rsid w:val="006D234A"/>
    <w:rsid w:val="006D411D"/>
    <w:rsid w:val="006D62B6"/>
    <w:rsid w:val="006D6701"/>
    <w:rsid w:val="006E49D9"/>
    <w:rsid w:val="006F09CE"/>
    <w:rsid w:val="006F1E2A"/>
    <w:rsid w:val="0070162D"/>
    <w:rsid w:val="00717948"/>
    <w:rsid w:val="00722B8E"/>
    <w:rsid w:val="00722D14"/>
    <w:rsid w:val="00730175"/>
    <w:rsid w:val="00730947"/>
    <w:rsid w:val="0074110D"/>
    <w:rsid w:val="00744DBA"/>
    <w:rsid w:val="00753988"/>
    <w:rsid w:val="00754D53"/>
    <w:rsid w:val="00760BF9"/>
    <w:rsid w:val="007611C4"/>
    <w:rsid w:val="00776622"/>
    <w:rsid w:val="00792B17"/>
    <w:rsid w:val="007C378E"/>
    <w:rsid w:val="007D1834"/>
    <w:rsid w:val="00801D44"/>
    <w:rsid w:val="00803918"/>
    <w:rsid w:val="00805BBC"/>
    <w:rsid w:val="00811E67"/>
    <w:rsid w:val="00816A1F"/>
    <w:rsid w:val="00826E73"/>
    <w:rsid w:val="00844A26"/>
    <w:rsid w:val="00850A48"/>
    <w:rsid w:val="00854055"/>
    <w:rsid w:val="0085503B"/>
    <w:rsid w:val="0085539A"/>
    <w:rsid w:val="00860047"/>
    <w:rsid w:val="00860CA1"/>
    <w:rsid w:val="00863FE0"/>
    <w:rsid w:val="00866E27"/>
    <w:rsid w:val="008705BE"/>
    <w:rsid w:val="008764A7"/>
    <w:rsid w:val="00880A6B"/>
    <w:rsid w:val="00881F46"/>
    <w:rsid w:val="008826CC"/>
    <w:rsid w:val="008A02C0"/>
    <w:rsid w:val="008A59C4"/>
    <w:rsid w:val="008B50FF"/>
    <w:rsid w:val="008C2B8B"/>
    <w:rsid w:val="008C7472"/>
    <w:rsid w:val="008D16C5"/>
    <w:rsid w:val="008D4528"/>
    <w:rsid w:val="008E0B30"/>
    <w:rsid w:val="008E111F"/>
    <w:rsid w:val="008E6099"/>
    <w:rsid w:val="008E721F"/>
    <w:rsid w:val="008E7529"/>
    <w:rsid w:val="008F494A"/>
    <w:rsid w:val="008F566A"/>
    <w:rsid w:val="0090499A"/>
    <w:rsid w:val="009130D9"/>
    <w:rsid w:val="009367D0"/>
    <w:rsid w:val="00946F61"/>
    <w:rsid w:val="00947635"/>
    <w:rsid w:val="0097236C"/>
    <w:rsid w:val="00972AF7"/>
    <w:rsid w:val="00975FC0"/>
    <w:rsid w:val="00976B43"/>
    <w:rsid w:val="009962C0"/>
    <w:rsid w:val="009A005E"/>
    <w:rsid w:val="009A3BCD"/>
    <w:rsid w:val="009B57BE"/>
    <w:rsid w:val="009D08B2"/>
    <w:rsid w:val="009D5F28"/>
    <w:rsid w:val="009E1E00"/>
    <w:rsid w:val="009F0444"/>
    <w:rsid w:val="009F25AE"/>
    <w:rsid w:val="00A14CEE"/>
    <w:rsid w:val="00A2426D"/>
    <w:rsid w:val="00A3104F"/>
    <w:rsid w:val="00A35455"/>
    <w:rsid w:val="00A40CD8"/>
    <w:rsid w:val="00A427E1"/>
    <w:rsid w:val="00A50171"/>
    <w:rsid w:val="00A567DF"/>
    <w:rsid w:val="00A56AC1"/>
    <w:rsid w:val="00A80121"/>
    <w:rsid w:val="00A871A2"/>
    <w:rsid w:val="00AA4DC4"/>
    <w:rsid w:val="00AA64E3"/>
    <w:rsid w:val="00AB017C"/>
    <w:rsid w:val="00AB2D33"/>
    <w:rsid w:val="00AC080F"/>
    <w:rsid w:val="00AD71FB"/>
    <w:rsid w:val="00AE1F41"/>
    <w:rsid w:val="00AE52D8"/>
    <w:rsid w:val="00AE58DB"/>
    <w:rsid w:val="00AE67F5"/>
    <w:rsid w:val="00B12DC3"/>
    <w:rsid w:val="00B24569"/>
    <w:rsid w:val="00B474B1"/>
    <w:rsid w:val="00B51C19"/>
    <w:rsid w:val="00B53327"/>
    <w:rsid w:val="00B60882"/>
    <w:rsid w:val="00B60B3C"/>
    <w:rsid w:val="00B61FE4"/>
    <w:rsid w:val="00B629A2"/>
    <w:rsid w:val="00B72139"/>
    <w:rsid w:val="00B72811"/>
    <w:rsid w:val="00B81106"/>
    <w:rsid w:val="00B9364E"/>
    <w:rsid w:val="00B93D72"/>
    <w:rsid w:val="00BA060E"/>
    <w:rsid w:val="00BC1810"/>
    <w:rsid w:val="00BD254F"/>
    <w:rsid w:val="00BD5F81"/>
    <w:rsid w:val="00BF439E"/>
    <w:rsid w:val="00BF6DB4"/>
    <w:rsid w:val="00C03AE4"/>
    <w:rsid w:val="00C077B2"/>
    <w:rsid w:val="00C12625"/>
    <w:rsid w:val="00C135C2"/>
    <w:rsid w:val="00C24234"/>
    <w:rsid w:val="00C319CB"/>
    <w:rsid w:val="00C337C0"/>
    <w:rsid w:val="00C353A5"/>
    <w:rsid w:val="00C3630B"/>
    <w:rsid w:val="00C36362"/>
    <w:rsid w:val="00C37C5F"/>
    <w:rsid w:val="00C40B2A"/>
    <w:rsid w:val="00C42794"/>
    <w:rsid w:val="00C42BF1"/>
    <w:rsid w:val="00C45D11"/>
    <w:rsid w:val="00C51870"/>
    <w:rsid w:val="00C761D4"/>
    <w:rsid w:val="00C76E00"/>
    <w:rsid w:val="00C80DD2"/>
    <w:rsid w:val="00C8793C"/>
    <w:rsid w:val="00C87DD8"/>
    <w:rsid w:val="00C96B92"/>
    <w:rsid w:val="00C974D7"/>
    <w:rsid w:val="00CA283C"/>
    <w:rsid w:val="00CA7B03"/>
    <w:rsid w:val="00CB4D8F"/>
    <w:rsid w:val="00CB5D4C"/>
    <w:rsid w:val="00CB6599"/>
    <w:rsid w:val="00CC16AE"/>
    <w:rsid w:val="00CE36D0"/>
    <w:rsid w:val="00CE3E40"/>
    <w:rsid w:val="00D0102A"/>
    <w:rsid w:val="00D04888"/>
    <w:rsid w:val="00D10C59"/>
    <w:rsid w:val="00D244FC"/>
    <w:rsid w:val="00D30573"/>
    <w:rsid w:val="00D41CAA"/>
    <w:rsid w:val="00D41EF5"/>
    <w:rsid w:val="00D468A9"/>
    <w:rsid w:val="00D47300"/>
    <w:rsid w:val="00D603EC"/>
    <w:rsid w:val="00D67CBD"/>
    <w:rsid w:val="00D7315F"/>
    <w:rsid w:val="00D92340"/>
    <w:rsid w:val="00DA36A1"/>
    <w:rsid w:val="00DC2777"/>
    <w:rsid w:val="00DC36E0"/>
    <w:rsid w:val="00DC5C4F"/>
    <w:rsid w:val="00DD6AF8"/>
    <w:rsid w:val="00DD75D8"/>
    <w:rsid w:val="00DD79C2"/>
    <w:rsid w:val="00DD7A2F"/>
    <w:rsid w:val="00DE4E6F"/>
    <w:rsid w:val="00DF01D7"/>
    <w:rsid w:val="00DF1AD3"/>
    <w:rsid w:val="00DF1EE2"/>
    <w:rsid w:val="00E03113"/>
    <w:rsid w:val="00E04D6F"/>
    <w:rsid w:val="00E0591F"/>
    <w:rsid w:val="00E07556"/>
    <w:rsid w:val="00E140D1"/>
    <w:rsid w:val="00E17395"/>
    <w:rsid w:val="00E27731"/>
    <w:rsid w:val="00E57473"/>
    <w:rsid w:val="00E62EBE"/>
    <w:rsid w:val="00E64F35"/>
    <w:rsid w:val="00E665AA"/>
    <w:rsid w:val="00E77F40"/>
    <w:rsid w:val="00E83E5B"/>
    <w:rsid w:val="00E95018"/>
    <w:rsid w:val="00E96664"/>
    <w:rsid w:val="00EA59C4"/>
    <w:rsid w:val="00EA7A5D"/>
    <w:rsid w:val="00EB086D"/>
    <w:rsid w:val="00EB09CD"/>
    <w:rsid w:val="00EB0E42"/>
    <w:rsid w:val="00EC5402"/>
    <w:rsid w:val="00ED296B"/>
    <w:rsid w:val="00EE1770"/>
    <w:rsid w:val="00EF1C99"/>
    <w:rsid w:val="00EF35C2"/>
    <w:rsid w:val="00EF48F8"/>
    <w:rsid w:val="00F011AE"/>
    <w:rsid w:val="00F03F44"/>
    <w:rsid w:val="00F306BA"/>
    <w:rsid w:val="00F33F2E"/>
    <w:rsid w:val="00F34DB1"/>
    <w:rsid w:val="00F43B97"/>
    <w:rsid w:val="00F45E27"/>
    <w:rsid w:val="00F4701B"/>
    <w:rsid w:val="00F679CB"/>
    <w:rsid w:val="00F70404"/>
    <w:rsid w:val="00F705EB"/>
    <w:rsid w:val="00F7084E"/>
    <w:rsid w:val="00F92FA8"/>
    <w:rsid w:val="00FA306A"/>
    <w:rsid w:val="00FB49EE"/>
    <w:rsid w:val="00FD36A1"/>
    <w:rsid w:val="00FE59E5"/>
    <w:rsid w:val="015A306C"/>
    <w:rsid w:val="05520B69"/>
    <w:rsid w:val="1655925D"/>
    <w:rsid w:val="1BC71E3A"/>
    <w:rsid w:val="1DCE32F4"/>
    <w:rsid w:val="256B78DD"/>
    <w:rsid w:val="26AA0277"/>
    <w:rsid w:val="3219304D"/>
    <w:rsid w:val="359228F2"/>
    <w:rsid w:val="3DBFA767"/>
    <w:rsid w:val="3F7FA032"/>
    <w:rsid w:val="419C4ED0"/>
    <w:rsid w:val="46F7F741"/>
    <w:rsid w:val="4FFA6BB6"/>
    <w:rsid w:val="55DDCA26"/>
    <w:rsid w:val="5BFECBF7"/>
    <w:rsid w:val="5FCFBDA8"/>
    <w:rsid w:val="5FFDC0B9"/>
    <w:rsid w:val="62D7BD1F"/>
    <w:rsid w:val="62DB8CE9"/>
    <w:rsid w:val="63B41B7F"/>
    <w:rsid w:val="6E5781C8"/>
    <w:rsid w:val="70391D79"/>
    <w:rsid w:val="7657AF8D"/>
    <w:rsid w:val="77A63971"/>
    <w:rsid w:val="77BE73AC"/>
    <w:rsid w:val="77FF772A"/>
    <w:rsid w:val="792C7C12"/>
    <w:rsid w:val="799F036B"/>
    <w:rsid w:val="79F91ACD"/>
    <w:rsid w:val="7A82E9F0"/>
    <w:rsid w:val="7BFE633B"/>
    <w:rsid w:val="7BFE6598"/>
    <w:rsid w:val="7BFECE71"/>
    <w:rsid w:val="7DE9FBA8"/>
    <w:rsid w:val="7DF5AF54"/>
    <w:rsid w:val="7DF7B869"/>
    <w:rsid w:val="7E56B10E"/>
    <w:rsid w:val="7FE7276E"/>
    <w:rsid w:val="7FFFE4D0"/>
    <w:rsid w:val="9EFE898C"/>
    <w:rsid w:val="B3FC8093"/>
    <w:rsid w:val="B7DF69B4"/>
    <w:rsid w:val="BB7196D7"/>
    <w:rsid w:val="BB8B567F"/>
    <w:rsid w:val="BECFBC02"/>
    <w:rsid w:val="BFEF8E8B"/>
    <w:rsid w:val="C2BE58FD"/>
    <w:rsid w:val="DC7F87AE"/>
    <w:rsid w:val="DDF3D052"/>
    <w:rsid w:val="EF9FB34A"/>
    <w:rsid w:val="F6EE6B2D"/>
    <w:rsid w:val="F7EE576E"/>
    <w:rsid w:val="F7EF30CD"/>
    <w:rsid w:val="FABFA5F9"/>
    <w:rsid w:val="FB7D6AD8"/>
    <w:rsid w:val="FB7E118C"/>
    <w:rsid w:val="FBFB294F"/>
    <w:rsid w:val="FBFD829C"/>
    <w:rsid w:val="FDEDE683"/>
    <w:rsid w:val="FE2F9E14"/>
    <w:rsid w:val="FFBBEFA9"/>
    <w:rsid w:val="FFFF1E8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qFormat/>
    <w:uiPriority w:val="0"/>
    <w:pPr>
      <w:ind w:left="100" w:leftChars="2500"/>
    </w:pPr>
  </w:style>
  <w:style w:type="paragraph" w:styleId="3">
    <w:name w:val="Balloon Text"/>
    <w:basedOn w:val="1"/>
    <w:link w:val="10"/>
    <w:qFormat/>
    <w:uiPriority w:val="0"/>
    <w:rPr>
      <w:sz w:val="18"/>
      <w:szCs w:val="18"/>
    </w:rPr>
  </w:style>
  <w:style w:type="paragraph" w:styleId="4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character" w:customStyle="1" w:styleId="10">
    <w:name w:val="批注框文本 Char"/>
    <w:link w:val="3"/>
    <w:qFormat/>
    <w:uiPriority w:val="0"/>
    <w:rPr>
      <w:kern w:val="2"/>
      <w:sz w:val="18"/>
      <w:szCs w:val="18"/>
    </w:rPr>
  </w:style>
  <w:style w:type="character" w:customStyle="1" w:styleId="11">
    <w:name w:val="日期 Char"/>
    <w:link w:val="2"/>
    <w:qFormat/>
    <w:uiPriority w:val="0"/>
    <w:rPr>
      <w:kern w:val="2"/>
      <w:sz w:val="21"/>
      <w:szCs w:val="24"/>
    </w:rPr>
  </w:style>
  <w:style w:type="character" w:customStyle="1" w:styleId="12">
    <w:name w:val="页眉 Char"/>
    <w:link w:val="5"/>
    <w:qFormat/>
    <w:uiPriority w:val="99"/>
    <w:rPr>
      <w:kern w:val="2"/>
      <w:sz w:val="18"/>
      <w:szCs w:val="18"/>
    </w:rPr>
  </w:style>
  <w:style w:type="character" w:customStyle="1" w:styleId="13">
    <w:name w:val="页脚 Char"/>
    <w:link w:val="4"/>
    <w:qFormat/>
    <w:uiPriority w:val="99"/>
    <w:rPr>
      <w:kern w:val="2"/>
      <w:sz w:val="18"/>
      <w:szCs w:val="18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character" w:customStyle="1" w:styleId="15">
    <w:name w:val="yongri_newsarticles_title1"/>
    <w:qFormat/>
    <w:uiPriority w:val="0"/>
    <w:rPr>
      <w:rFonts w:hint="default" w:ascii="Tahoma" w:hAnsi="Tahoma" w:cs="Tahoma"/>
      <w:b/>
      <w:bCs/>
      <w:sz w:val="27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41</Words>
  <Characters>238</Characters>
  <Lines>1</Lines>
  <Paragraphs>1</Paragraphs>
  <TotalTime>14</TotalTime>
  <ScaleCrop>false</ScaleCrop>
  <LinksUpToDate>false</LinksUpToDate>
  <CharactersWithSpaces>278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2019-07-02T01:57:00Z</dcterms:created>
  <dc:creator>lenovo</dc:creator>
  <cp:lastModifiedBy>张世明</cp:lastModifiedBy>
  <cp:lastPrinted>2022-05-27T02:06:00Z</cp:lastPrinted>
  <dcterms:modified xsi:type="dcterms:W3CDTF">2026-06-10T17:50:00Z</dcterms:modified>
  <dc:title>附件1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E258E88448004B159A01451492EDC960</vt:lpwstr>
  </property>
</Properties>
</file>