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p>
    <w:p/>
    <w:p/>
    <w:p>
      <w:pPr>
        <w:jc w:val="center"/>
        <w:rPr>
          <w:rFonts w:ascii="宋体" w:hAnsi="宋体" w:cs="宋体"/>
          <w:b/>
          <w:sz w:val="72"/>
          <w:szCs w:val="72"/>
        </w:rPr>
      </w:pPr>
      <w:r>
        <w:rPr>
          <w:rFonts w:hint="eastAsia" w:ascii="宋体" w:hAnsi="宋体" w:cs="宋体"/>
          <w:b/>
          <w:sz w:val="72"/>
          <w:szCs w:val="72"/>
        </w:rPr>
        <w:t>简易招标文件</w:t>
      </w:r>
    </w:p>
    <w:p>
      <w:pPr>
        <w:jc w:val="center"/>
        <w:rPr>
          <w:rFonts w:ascii="宋体" w:hAnsi="宋体" w:cs="宋体"/>
        </w:rPr>
      </w:pPr>
    </w:p>
    <w:p>
      <w:pPr>
        <w:rPr>
          <w:rFonts w:ascii="宋体" w:hAnsi="宋体" w:cs="宋体"/>
        </w:rPr>
      </w:pPr>
    </w:p>
    <w:p>
      <w:pPr>
        <w:pStyle w:val="37"/>
        <w:ind w:firstLine="420"/>
        <w:rPr>
          <w:rFonts w:ascii="宋体" w:hAnsi="宋体" w:cs="宋体"/>
        </w:rPr>
      </w:pPr>
    </w:p>
    <w:p>
      <w:pPr>
        <w:pStyle w:val="37"/>
        <w:ind w:firstLine="420"/>
        <w:rPr>
          <w:rFonts w:ascii="宋体" w:hAnsi="宋体" w:cs="宋体"/>
        </w:rPr>
      </w:pPr>
    </w:p>
    <w:p>
      <w:pPr>
        <w:rPr>
          <w:rFonts w:ascii="宋体" w:hAnsi="宋体" w:cs="宋体"/>
          <w:b/>
          <w:sz w:val="44"/>
        </w:rPr>
      </w:pPr>
    </w:p>
    <w:p>
      <w:pPr>
        <w:ind w:left="2326" w:leftChars="247" w:right="-319" w:rightChars="-152" w:hanging="1807" w:hangingChars="500"/>
        <w:rPr>
          <w:rFonts w:hint="eastAsia" w:ascii="宋体" w:hAnsi="宋体" w:cs="宋体"/>
          <w:b/>
          <w:sz w:val="36"/>
          <w:szCs w:val="36"/>
        </w:rPr>
      </w:pPr>
      <w:r>
        <w:rPr>
          <w:rFonts w:hint="eastAsia" w:ascii="宋体" w:hAnsi="宋体" w:cs="宋体"/>
          <w:b/>
          <w:sz w:val="36"/>
          <w:szCs w:val="36"/>
        </w:rPr>
        <w:t>招标编号：QH2026072</w:t>
      </w:r>
    </w:p>
    <w:p>
      <w:pPr>
        <w:pStyle w:val="37"/>
        <w:ind w:firstLine="420"/>
        <w:rPr>
          <w:rFonts w:ascii="宋体" w:hAnsi="宋体" w:cs="宋体"/>
        </w:rPr>
      </w:pPr>
    </w:p>
    <w:p>
      <w:pPr>
        <w:pStyle w:val="37"/>
        <w:ind w:firstLine="420"/>
        <w:rPr>
          <w:rFonts w:ascii="宋体" w:hAnsi="宋体" w:cs="宋体"/>
        </w:rPr>
      </w:pPr>
    </w:p>
    <w:p>
      <w:pPr>
        <w:pStyle w:val="37"/>
        <w:ind w:firstLine="420"/>
        <w:rPr>
          <w:rFonts w:ascii="宋体" w:hAnsi="宋体" w:cs="宋体"/>
        </w:rPr>
      </w:pPr>
    </w:p>
    <w:p>
      <w:pPr>
        <w:ind w:left="2326" w:leftChars="247" w:right="-319" w:rightChars="-152" w:hanging="1807" w:hangingChars="500"/>
        <w:rPr>
          <w:rFonts w:hint="eastAsia" w:ascii="宋体" w:hAnsi="宋体" w:cs="宋体"/>
          <w:b/>
          <w:sz w:val="36"/>
          <w:szCs w:val="36"/>
        </w:rPr>
      </w:pPr>
      <w:r>
        <w:rPr>
          <w:rFonts w:hint="eastAsia" w:ascii="宋体" w:hAnsi="宋体" w:cs="宋体"/>
          <w:b/>
          <w:sz w:val="36"/>
          <w:szCs w:val="36"/>
        </w:rPr>
        <w:t>招标项目：前海发展观测观察评价模型咨询项目</w:t>
      </w:r>
    </w:p>
    <w:p>
      <w:pPr>
        <w:ind w:firstLine="3264" w:firstLineChars="739"/>
        <w:rPr>
          <w:rFonts w:ascii="宋体" w:hAnsi="宋体" w:cs="宋体"/>
          <w:b/>
          <w:sz w:val="44"/>
        </w:rPr>
      </w:pPr>
    </w:p>
    <w:p>
      <w:pPr>
        <w:ind w:left="1260" w:leftChars="600" w:firstLine="1855" w:firstLineChars="420"/>
        <w:rPr>
          <w:rFonts w:ascii="宋体" w:hAnsi="宋体" w:cs="宋体"/>
          <w:b/>
          <w:sz w:val="44"/>
        </w:rPr>
      </w:pPr>
    </w:p>
    <w:p>
      <w:pPr>
        <w:rPr>
          <w:rFonts w:ascii="宋体" w:hAnsi="宋体" w:cs="宋体"/>
          <w:b/>
          <w:sz w:val="44"/>
        </w:rPr>
      </w:pPr>
    </w:p>
    <w:p>
      <w:pPr>
        <w:jc w:val="center"/>
        <w:rPr>
          <w:rFonts w:hint="eastAsia" w:ascii="宋体" w:hAnsi="宋体" w:cs="宋体"/>
          <w:b/>
          <w:bCs/>
          <w:sz w:val="36"/>
          <w:szCs w:val="36"/>
          <w:lang w:val="zh-CN"/>
        </w:rPr>
      </w:pPr>
    </w:p>
    <w:p>
      <w:pPr>
        <w:rPr>
          <w:rFonts w:hint="eastAsia" w:ascii="宋体" w:hAnsi="宋体" w:cs="宋体"/>
          <w:b/>
          <w:bCs/>
          <w:sz w:val="36"/>
          <w:szCs w:val="36"/>
          <w:lang w:val="zh-CN"/>
        </w:rPr>
      </w:pPr>
    </w:p>
    <w:p>
      <w:pPr>
        <w:jc w:val="center"/>
        <w:rPr>
          <w:rFonts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ascii="宋体" w:hAnsi="宋体" w:cs="宋体"/>
          <w:b/>
          <w:bCs/>
          <w:sz w:val="36"/>
          <w:szCs w:val="36"/>
        </w:rPr>
      </w:pPr>
      <w:r>
        <w:rPr>
          <w:rFonts w:hint="eastAsia" w:ascii="宋体" w:hAnsi="宋体" w:cs="宋体"/>
          <w:b/>
          <w:bCs/>
          <w:sz w:val="36"/>
          <w:szCs w:val="36"/>
        </w:rPr>
        <w:t>2026年6月</w:t>
      </w:r>
    </w:p>
    <w:p>
      <w:pPr>
        <w:autoSpaceDE w:val="0"/>
        <w:autoSpaceDN w:val="0"/>
        <w:adjustRightInd w:val="0"/>
        <w:jc w:val="center"/>
        <w:rPr>
          <w:rFonts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noWrap w:val="0"/>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jc w:val="center"/>
              <w:rPr>
                <w:rFonts w:hint="eastAsia" w:ascii="宋体" w:hAnsi="宋体" w:cs="宋体"/>
                <w:sz w:val="24"/>
              </w:rPr>
            </w:pPr>
            <w:r>
              <w:rPr>
                <w:rFonts w:hint="eastAsia" w:ascii="宋体" w:hAnsi="宋体" w:cs="宋体"/>
                <w:sz w:val="24"/>
              </w:rPr>
              <w:t>1</w:t>
            </w:r>
          </w:p>
        </w:tc>
        <w:tc>
          <w:tcPr>
            <w:tcW w:w="4519" w:type="pct"/>
            <w:noWrap w:val="0"/>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jc w:val="center"/>
              <w:rPr>
                <w:rFonts w:hint="eastAsia" w:ascii="宋体" w:hAnsi="宋体" w:cs="宋体"/>
                <w:sz w:val="24"/>
              </w:rPr>
            </w:pPr>
            <w:r>
              <w:rPr>
                <w:rFonts w:hint="eastAsia" w:ascii="宋体" w:hAnsi="宋体" w:cs="宋体"/>
                <w:sz w:val="24"/>
              </w:rPr>
              <w:t>2</w:t>
            </w:r>
          </w:p>
        </w:tc>
        <w:tc>
          <w:tcPr>
            <w:tcW w:w="4519" w:type="pct"/>
            <w:noWrap w:val="0"/>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jc w:val="center"/>
              <w:rPr>
                <w:rFonts w:hint="eastAsia" w:ascii="宋体" w:hAnsi="宋体" w:cs="宋体"/>
                <w:sz w:val="24"/>
              </w:rPr>
            </w:pPr>
            <w:r>
              <w:rPr>
                <w:rFonts w:hint="eastAsia" w:ascii="宋体" w:hAnsi="宋体" w:cs="宋体"/>
                <w:sz w:val="24"/>
              </w:rPr>
              <w:t>3</w:t>
            </w:r>
          </w:p>
        </w:tc>
        <w:tc>
          <w:tcPr>
            <w:tcW w:w="4519" w:type="pct"/>
            <w:noWrap w:val="0"/>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jc w:val="center"/>
              <w:rPr>
                <w:rFonts w:hint="eastAsia" w:ascii="宋体" w:hAnsi="宋体" w:cs="宋体"/>
                <w:sz w:val="24"/>
              </w:rPr>
            </w:pPr>
            <w:r>
              <w:rPr>
                <w:rFonts w:hint="eastAsia" w:ascii="宋体" w:hAnsi="宋体" w:cs="宋体"/>
                <w:sz w:val="24"/>
              </w:rPr>
              <w:t>4</w:t>
            </w:r>
          </w:p>
        </w:tc>
        <w:tc>
          <w:tcPr>
            <w:tcW w:w="4519" w:type="pct"/>
            <w:noWrap w:val="0"/>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jc w:val="center"/>
              <w:rPr>
                <w:rFonts w:hint="eastAsia" w:ascii="宋体" w:hAnsi="宋体" w:cs="宋体"/>
                <w:sz w:val="24"/>
              </w:rPr>
            </w:pPr>
            <w:r>
              <w:rPr>
                <w:rFonts w:hint="eastAsia" w:ascii="宋体" w:hAnsi="宋体" w:cs="宋体"/>
                <w:sz w:val="24"/>
              </w:rPr>
              <w:t>5</w:t>
            </w:r>
          </w:p>
        </w:tc>
        <w:tc>
          <w:tcPr>
            <w:tcW w:w="4519" w:type="pct"/>
            <w:noWrap w:val="0"/>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8"/>
        <w:spacing w:before="0" w:beforeAutospacing="0" w:after="0" w:afterAutospacing="0"/>
        <w:ind w:firstLine="480" w:firstLineChars="200"/>
      </w:pPr>
      <w:bookmarkStart w:id="1" w:name="_Toc2750"/>
      <w:r>
        <w:rPr>
          <w:rFonts w:hint="eastAsia"/>
        </w:rPr>
        <w:t>（一）在采购活动中应当回避而未回避的；</w:t>
      </w:r>
      <w:bookmarkEnd w:id="1"/>
    </w:p>
    <w:p>
      <w:pPr>
        <w:pStyle w:val="18"/>
        <w:spacing w:before="0" w:beforeAutospacing="0" w:after="0" w:afterAutospacing="0"/>
        <w:ind w:firstLine="480" w:firstLineChars="200"/>
      </w:pPr>
      <w:r>
        <w:rPr>
          <w:rFonts w:hint="eastAsia"/>
        </w:rPr>
        <w:t>（二）未按照本条例规定签订、履行采购合同，造成严重后果的；</w:t>
      </w:r>
    </w:p>
    <w:p>
      <w:pPr>
        <w:pStyle w:val="18"/>
        <w:spacing w:before="0" w:beforeAutospacing="0" w:after="0" w:afterAutospacing="0"/>
        <w:ind w:firstLine="480" w:firstLineChars="200"/>
      </w:pPr>
      <w:r>
        <w:rPr>
          <w:rFonts w:hint="eastAsia"/>
        </w:rPr>
        <w:t>（三）隐瞒真实情况，提供虚假资料的；</w:t>
      </w:r>
    </w:p>
    <w:p>
      <w:pPr>
        <w:pStyle w:val="18"/>
        <w:spacing w:before="0" w:beforeAutospacing="0" w:after="0" w:afterAutospacing="0"/>
        <w:ind w:firstLine="480" w:firstLineChars="200"/>
      </w:pPr>
      <w:r>
        <w:rPr>
          <w:rFonts w:hint="eastAsia"/>
        </w:rPr>
        <w:t>（四）以非法手段排斥其他供应商参与竞争的；</w:t>
      </w:r>
    </w:p>
    <w:p>
      <w:pPr>
        <w:pStyle w:val="18"/>
        <w:spacing w:before="0" w:beforeAutospacing="0" w:after="0" w:afterAutospacing="0"/>
        <w:ind w:firstLine="480" w:firstLineChars="200"/>
      </w:pPr>
      <w:r>
        <w:rPr>
          <w:rFonts w:hint="eastAsia"/>
        </w:rPr>
        <w:t>（五）与其他采购参加人串通投标的；</w:t>
      </w:r>
    </w:p>
    <w:p>
      <w:pPr>
        <w:pStyle w:val="18"/>
        <w:spacing w:before="0" w:beforeAutospacing="0" w:after="0" w:afterAutospacing="0"/>
        <w:ind w:firstLine="480" w:firstLineChars="200"/>
      </w:pPr>
      <w:r>
        <w:rPr>
          <w:rFonts w:hint="eastAsia"/>
        </w:rPr>
        <w:t>（六）恶意投诉的；</w:t>
      </w:r>
    </w:p>
    <w:p>
      <w:pPr>
        <w:pStyle w:val="18"/>
        <w:spacing w:before="0" w:beforeAutospacing="0" w:after="0" w:afterAutospacing="0"/>
        <w:ind w:firstLine="480" w:firstLineChars="200"/>
      </w:pPr>
      <w:r>
        <w:rPr>
          <w:rFonts w:hint="eastAsia"/>
        </w:rPr>
        <w:t>（七）向采购项目相关人行贿或者提供其他不当利益的；</w:t>
      </w:r>
    </w:p>
    <w:p>
      <w:pPr>
        <w:pStyle w:val="18"/>
        <w:spacing w:before="0" w:beforeAutospacing="0" w:after="0" w:afterAutospacing="0"/>
        <w:ind w:firstLine="480" w:firstLineChars="200"/>
      </w:pPr>
      <w:r>
        <w:rPr>
          <w:rFonts w:hint="eastAsia"/>
        </w:rPr>
        <w:t>（八）阻碍、抗拒主管部门监督检查的；</w:t>
      </w:r>
    </w:p>
    <w:p>
      <w:pPr>
        <w:pStyle w:val="18"/>
        <w:spacing w:before="0" w:beforeAutospacing="0" w:after="0" w:afterAutospacing="0"/>
        <w:ind w:firstLine="480" w:firstLineChars="200"/>
      </w:pPr>
      <w:r>
        <w:rPr>
          <w:rFonts w:hint="eastAsia"/>
        </w:rPr>
        <w:t>（九）其他违反本条例规定的行为。</w:t>
      </w:r>
    </w:p>
    <w:p>
      <w:pPr>
        <w:autoSpaceDE w:val="0"/>
        <w:autoSpaceDN w:val="0"/>
        <w:adjustRightInd w:val="0"/>
        <w:ind w:firstLine="360" w:firstLineChars="150"/>
        <w:jc w:val="left"/>
        <w:rPr>
          <w:rFonts w:ascii="宋体" w:hAnsi="宋体" w:cs="宋体"/>
          <w:kern w:val="0"/>
          <w:sz w:val="24"/>
        </w:rPr>
      </w:pPr>
    </w:p>
    <w:p>
      <w:pPr>
        <w:autoSpaceDE w:val="0"/>
        <w:autoSpaceDN w:val="0"/>
        <w:adjustRightInd w:val="0"/>
        <w:jc w:val="center"/>
        <w:rPr>
          <w:rFonts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9"/>
        <w:tabs>
          <w:tab w:val="left" w:pos="562"/>
          <w:tab w:val="left" w:pos="3372"/>
          <w:tab w:val="left" w:pos="3653"/>
        </w:tabs>
        <w:spacing w:line="360" w:lineRule="auto"/>
        <w:ind w:firstLine="480" w:firstLineChars="200"/>
        <w:rPr>
          <w:rFonts w:ascii="宋体" w:hAnsi="宋体" w:cs="宋体"/>
        </w:rPr>
      </w:pPr>
    </w:p>
    <w:p>
      <w:pPr>
        <w:pStyle w:val="9"/>
        <w:tabs>
          <w:tab w:val="left" w:pos="562"/>
          <w:tab w:val="left" w:pos="3372"/>
          <w:tab w:val="left" w:pos="3653"/>
        </w:tabs>
        <w:spacing w:line="360" w:lineRule="auto"/>
        <w:ind w:firstLine="480" w:firstLineChars="200"/>
        <w:rPr>
          <w:rFonts w:ascii="宋体" w:hAnsi="宋体" w:cs="宋体"/>
        </w:rPr>
      </w:pPr>
    </w:p>
    <w:p>
      <w:pPr>
        <w:jc w:val="center"/>
        <w:outlineLvl w:val="0"/>
        <w:rPr>
          <w:rFonts w:ascii="宋体" w:hAnsi="宋体" w:cs="宋体"/>
          <w:b/>
          <w:bCs/>
          <w:sz w:val="36"/>
          <w:szCs w:val="36"/>
          <w:lang w:val="zh-CN"/>
        </w:rPr>
      </w:pPr>
      <w:r>
        <w:rPr>
          <w:rFonts w:hint="eastAsia" w:ascii="宋体" w:hAnsi="宋体" w:cs="宋体"/>
          <w:b/>
          <w:bCs/>
          <w:sz w:val="36"/>
          <w:szCs w:val="36"/>
          <w:lang w:val="zh-CN"/>
        </w:rPr>
        <w:br w:type="page"/>
      </w:r>
      <w:bookmarkStart w:id="6" w:name="_Toc20808"/>
      <w:r>
        <w:rPr>
          <w:rFonts w:hint="eastAsia" w:ascii="宋体" w:hAnsi="宋体" w:cs="宋体"/>
          <w:b/>
          <w:bCs/>
          <w:sz w:val="36"/>
          <w:szCs w:val="36"/>
          <w:lang w:val="zh-CN"/>
        </w:rPr>
        <w:t>目录</w:t>
      </w:r>
      <w:bookmarkEnd w:id="0"/>
      <w:bookmarkEnd w:id="6"/>
    </w:p>
    <w:p>
      <w:pPr>
        <w:pStyle w:val="16"/>
        <w:tabs>
          <w:tab w:val="right" w:leader="dot" w:pos="8306"/>
        </w:tabs>
        <w:spacing w:line="480" w:lineRule="auto"/>
        <w:rPr>
          <w:b/>
          <w:bCs/>
          <w:sz w:val="24"/>
          <w:szCs w:val="32"/>
        </w:rPr>
      </w:pPr>
    </w:p>
    <w:p>
      <w:pPr>
        <w:pStyle w:val="16"/>
        <w:tabs>
          <w:tab w:val="right" w:leader="dot" w:pos="8306"/>
        </w:tabs>
        <w:spacing w:line="360" w:lineRule="auto"/>
        <w:rPr>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"_Toc17273" </w:instrText>
      </w:r>
      <w:r>
        <w:fldChar w:fldCharType="separate"/>
      </w:r>
      <w:r>
        <w:rPr>
          <w:rFonts w:hint="eastAsia" w:ascii="宋体" w:hAnsi="宋体" w:cs="宋体"/>
          <w:b/>
          <w:bCs/>
          <w:sz w:val="24"/>
        </w:rPr>
        <w:t>第一章 招标邀请书（招标公告）</w:t>
      </w:r>
      <w:r>
        <w:rPr>
          <w:b/>
          <w:bCs/>
          <w:sz w:val="24"/>
        </w:rPr>
        <w:tab/>
      </w:r>
      <w:r>
        <w:rPr>
          <w:rFonts w:hint="eastAsia"/>
          <w:b/>
          <w:bCs/>
          <w:sz w:val="24"/>
        </w:rPr>
        <w:t>6</w:t>
      </w:r>
      <w:r>
        <w:rPr>
          <w:b/>
          <w:bCs/>
          <w:sz w:val="24"/>
        </w:rPr>
        <w:fldChar w:fldCharType="end"/>
      </w:r>
    </w:p>
    <w:p>
      <w:pPr>
        <w:pStyle w:val="16"/>
        <w:tabs>
          <w:tab w:val="right" w:leader="dot" w:pos="8306"/>
        </w:tabs>
        <w:spacing w:line="360" w:lineRule="auto"/>
        <w:rPr>
          <w:rFonts w:hint="eastAsia"/>
          <w:b/>
          <w:bCs/>
          <w:sz w:val="24"/>
        </w:rPr>
      </w:pPr>
      <w:r>
        <w:fldChar w:fldCharType="begin"/>
      </w:r>
      <w:r>
        <w:instrText xml:space="preserve"> HYPERLINK \l "_Toc10214" </w:instrText>
      </w:r>
      <w:r>
        <w:fldChar w:fldCharType="separate"/>
      </w:r>
      <w:r>
        <w:rPr>
          <w:rFonts w:hint="eastAsia" w:ascii="宋体" w:hAnsi="宋体" w:cs="宋体"/>
          <w:b/>
          <w:bCs/>
          <w:sz w:val="24"/>
        </w:rPr>
        <w:t>第二章 投标须知</w:t>
      </w:r>
      <w:r>
        <w:rPr>
          <w:b/>
          <w:bCs/>
          <w:sz w:val="24"/>
        </w:rPr>
        <w:tab/>
      </w:r>
      <w:r>
        <w:rPr>
          <w:rFonts w:hint="eastAsia"/>
          <w:b/>
          <w:bCs/>
          <w:sz w:val="24"/>
        </w:rPr>
        <w:t>1</w:t>
      </w:r>
      <w:r>
        <w:rPr>
          <w:b/>
          <w:bCs/>
          <w:sz w:val="24"/>
        </w:rPr>
        <w:fldChar w:fldCharType="end"/>
      </w:r>
      <w:r>
        <w:rPr>
          <w:rFonts w:hint="eastAsia"/>
          <w:b/>
          <w:bCs/>
          <w:sz w:val="24"/>
        </w:rPr>
        <w:t>0</w:t>
      </w:r>
    </w:p>
    <w:p>
      <w:pPr>
        <w:pStyle w:val="16"/>
        <w:tabs>
          <w:tab w:val="right" w:leader="dot" w:pos="8306"/>
        </w:tabs>
        <w:spacing w:line="360" w:lineRule="auto"/>
        <w:rPr>
          <w:b/>
          <w:bCs/>
          <w:sz w:val="24"/>
        </w:rPr>
      </w:pPr>
      <w:r>
        <w:fldChar w:fldCharType="begin"/>
      </w:r>
      <w:r>
        <w:instrText xml:space="preserve"> HYPERLINK \l "_Toc20176" </w:instrText>
      </w:r>
      <w:r>
        <w:fldChar w:fldCharType="separate"/>
      </w:r>
      <w:r>
        <w:rPr>
          <w:rFonts w:hint="eastAsia" w:ascii="宋体" w:hAnsi="宋体" w:cs="宋体"/>
          <w:b/>
          <w:bCs/>
          <w:sz w:val="24"/>
        </w:rPr>
        <w:t>第三章 评标程序</w:t>
      </w:r>
      <w:r>
        <w:rPr>
          <w:b/>
          <w:bCs/>
          <w:sz w:val="24"/>
        </w:rPr>
        <w:tab/>
      </w:r>
      <w:r>
        <w:rPr>
          <w:b/>
          <w:bCs/>
          <w:sz w:val="24"/>
        </w:rPr>
        <w:fldChar w:fldCharType="begin"/>
      </w:r>
      <w:r>
        <w:rPr>
          <w:b/>
          <w:bCs/>
          <w:sz w:val="24"/>
        </w:rPr>
        <w:instrText xml:space="preserve"> PAGEREF _Toc20176 \h </w:instrText>
      </w:r>
      <w:r>
        <w:rPr>
          <w:b/>
          <w:bCs/>
          <w:sz w:val="24"/>
        </w:rPr>
        <w:fldChar w:fldCharType="separate"/>
      </w:r>
      <w:r>
        <w:rPr>
          <w:b/>
          <w:bCs/>
          <w:sz w:val="24"/>
        </w:rPr>
        <w:t>13</w:t>
      </w:r>
      <w:r>
        <w:rPr>
          <w:b/>
          <w:bCs/>
          <w:sz w:val="24"/>
        </w:rPr>
        <w:fldChar w:fldCharType="end"/>
      </w:r>
      <w:r>
        <w:rPr>
          <w:b/>
          <w:bCs/>
          <w:sz w:val="24"/>
        </w:rPr>
        <w:fldChar w:fldCharType="end"/>
      </w:r>
    </w:p>
    <w:p>
      <w:pPr>
        <w:pStyle w:val="16"/>
        <w:tabs>
          <w:tab w:val="right" w:leader="dot" w:pos="8306"/>
        </w:tabs>
        <w:spacing w:line="360" w:lineRule="auto"/>
        <w:rPr>
          <w:rFonts w:hint="eastAsia"/>
          <w:b/>
          <w:bCs/>
          <w:sz w:val="24"/>
        </w:rPr>
      </w:pPr>
      <w:r>
        <w:fldChar w:fldCharType="begin"/>
      </w:r>
      <w:r>
        <w:instrText xml:space="preserve"> HYPERLINK \l "_Toc3567" </w:instrText>
      </w:r>
      <w:r>
        <w:fldChar w:fldCharType="separate"/>
      </w:r>
      <w:r>
        <w:rPr>
          <w:rFonts w:hint="eastAsia" w:ascii="宋体" w:hAnsi="宋体" w:cs="宋体"/>
          <w:b/>
          <w:bCs/>
          <w:sz w:val="24"/>
        </w:rPr>
        <w:t>第四章 合同格式及合同条款</w:t>
      </w:r>
      <w:r>
        <w:rPr>
          <w:b/>
          <w:bCs/>
          <w:sz w:val="24"/>
        </w:rPr>
        <w:tab/>
      </w:r>
      <w:r>
        <w:rPr>
          <w:rFonts w:hint="eastAsia"/>
          <w:b/>
          <w:bCs/>
          <w:sz w:val="24"/>
        </w:rPr>
        <w:t>1</w:t>
      </w:r>
      <w:r>
        <w:rPr>
          <w:b/>
          <w:bCs/>
          <w:sz w:val="24"/>
        </w:rPr>
        <w:fldChar w:fldCharType="end"/>
      </w:r>
      <w:r>
        <w:rPr>
          <w:rFonts w:hint="eastAsia"/>
          <w:b/>
          <w:bCs/>
          <w:sz w:val="24"/>
        </w:rPr>
        <w:t>5</w:t>
      </w:r>
    </w:p>
    <w:p>
      <w:pPr>
        <w:pStyle w:val="16"/>
        <w:tabs>
          <w:tab w:val="right" w:leader="dot" w:pos="8306"/>
        </w:tabs>
        <w:spacing w:line="360" w:lineRule="auto"/>
        <w:rPr>
          <w:rFonts w:hint="eastAsia"/>
          <w:b/>
          <w:bCs/>
          <w:sz w:val="24"/>
        </w:rPr>
      </w:pPr>
      <w:r>
        <w:fldChar w:fldCharType="begin"/>
      </w:r>
      <w:r>
        <w:instrText xml:space="preserve"> HYPERLINK \l "_Toc25518" </w:instrText>
      </w:r>
      <w:r>
        <w:fldChar w:fldCharType="separate"/>
      </w:r>
      <w:r>
        <w:rPr>
          <w:rFonts w:hint="eastAsia" w:ascii="宋体" w:hAnsi="宋体" w:cs="宋体"/>
          <w:b/>
          <w:bCs/>
          <w:sz w:val="24"/>
        </w:rPr>
        <w:t>第五章 用户需求书</w:t>
      </w:r>
      <w:r>
        <w:rPr>
          <w:b/>
          <w:bCs/>
          <w:sz w:val="24"/>
        </w:rPr>
        <w:tab/>
      </w:r>
      <w:r>
        <w:rPr>
          <w:b/>
          <w:bCs/>
          <w:sz w:val="24"/>
        </w:rPr>
        <w:fldChar w:fldCharType="end"/>
      </w:r>
      <w:r>
        <w:rPr>
          <w:rFonts w:hint="eastAsia"/>
          <w:b/>
          <w:bCs/>
          <w:sz w:val="24"/>
        </w:rPr>
        <w:t>28</w:t>
      </w:r>
    </w:p>
    <w:p>
      <w:pPr>
        <w:pStyle w:val="16"/>
        <w:tabs>
          <w:tab w:val="right" w:leader="dot" w:pos="8306"/>
        </w:tabs>
        <w:spacing w:line="360" w:lineRule="auto"/>
        <w:rPr>
          <w:rFonts w:hint="eastAsia"/>
          <w:b/>
          <w:bCs/>
          <w:sz w:val="24"/>
        </w:rPr>
      </w:pPr>
      <w:r>
        <w:fldChar w:fldCharType="begin"/>
      </w:r>
      <w:r>
        <w:instrText xml:space="preserve"> HYPERLINK \l "_Toc23822" </w:instrText>
      </w:r>
      <w:r>
        <w:fldChar w:fldCharType="separate"/>
      </w:r>
      <w:r>
        <w:rPr>
          <w:rFonts w:hint="eastAsia" w:ascii="宋体" w:cs="宋体"/>
          <w:b/>
          <w:bCs/>
          <w:sz w:val="24"/>
        </w:rPr>
        <w:t>第六章 投标文件初审及招标项目评分表</w:t>
      </w:r>
      <w:r>
        <w:rPr>
          <w:b/>
          <w:bCs/>
          <w:sz w:val="24"/>
        </w:rPr>
        <w:tab/>
      </w:r>
      <w:r>
        <w:rPr>
          <w:b/>
          <w:bCs/>
          <w:sz w:val="24"/>
        </w:rPr>
        <w:fldChar w:fldCharType="end"/>
      </w:r>
      <w:r>
        <w:rPr>
          <w:rFonts w:hint="eastAsia"/>
          <w:b/>
          <w:bCs/>
          <w:sz w:val="24"/>
        </w:rPr>
        <w:t>34</w:t>
      </w:r>
    </w:p>
    <w:p>
      <w:pPr>
        <w:pStyle w:val="16"/>
        <w:tabs>
          <w:tab w:val="right" w:leader="dot" w:pos="8306"/>
        </w:tabs>
        <w:spacing w:line="360" w:lineRule="auto"/>
        <w:rPr>
          <w:b/>
          <w:bCs/>
          <w:sz w:val="24"/>
        </w:rPr>
      </w:pPr>
      <w:r>
        <w:fldChar w:fldCharType="begin"/>
      </w:r>
      <w:r>
        <w:instrText xml:space="preserve"> HYPERLINK \l "_Toc9548" </w:instrText>
      </w:r>
      <w:r>
        <w:fldChar w:fldCharType="separate"/>
      </w:r>
      <w:r>
        <w:rPr>
          <w:rFonts w:hint="eastAsia" w:ascii="宋体" w:hAnsi="宋体" w:cs="宋体"/>
          <w:b/>
          <w:bCs/>
          <w:sz w:val="24"/>
        </w:rPr>
        <w:t>第七章 附件（投标文件格式）</w:t>
      </w:r>
      <w:r>
        <w:rPr>
          <w:b/>
          <w:bCs/>
          <w:sz w:val="24"/>
        </w:rPr>
        <w:tab/>
      </w:r>
      <w:r>
        <w:rPr>
          <w:b/>
          <w:bCs/>
          <w:sz w:val="24"/>
        </w:rPr>
        <w:fldChar w:fldCharType="end"/>
      </w:r>
      <w:r>
        <w:rPr>
          <w:rFonts w:hint="eastAsia"/>
          <w:b/>
          <w:bCs/>
          <w:sz w:val="24"/>
        </w:rPr>
        <w:t>44</w:t>
      </w:r>
    </w:p>
    <w:p>
      <w:pPr>
        <w:pStyle w:val="16"/>
        <w:tabs>
          <w:tab w:val="right" w:leader="dot" w:pos="8306"/>
        </w:tabs>
        <w:spacing w:line="360" w:lineRule="auto"/>
        <w:rPr>
          <w:b/>
          <w:bCs/>
          <w:sz w:val="24"/>
        </w:rPr>
      </w:pPr>
      <w:r>
        <w:fldChar w:fldCharType="begin"/>
      </w:r>
      <w:r>
        <w:instrText xml:space="preserve"> HYPERLINK \l "_Toc742" </w:instrText>
      </w:r>
      <w:r>
        <w:fldChar w:fldCharType="separate"/>
      </w:r>
      <w:r>
        <w:rPr>
          <w:rFonts w:hint="eastAsia" w:ascii="宋体" w:hAnsi="宋体" w:cs="宋体"/>
          <w:b/>
          <w:bCs/>
          <w:sz w:val="24"/>
        </w:rPr>
        <w:t>附件：相关政策</w:t>
      </w:r>
      <w:r>
        <w:rPr>
          <w:b/>
          <w:bCs/>
          <w:sz w:val="24"/>
        </w:rPr>
        <w:tab/>
      </w:r>
      <w:r>
        <w:rPr>
          <w:b/>
          <w:bCs/>
          <w:sz w:val="24"/>
        </w:rPr>
        <w:fldChar w:fldCharType="end"/>
      </w:r>
      <w:r>
        <w:rPr>
          <w:rFonts w:hint="eastAsia"/>
          <w:b/>
          <w:bCs/>
          <w:sz w:val="24"/>
        </w:rPr>
        <w:t>67</w:t>
      </w:r>
    </w:p>
    <w:p>
      <w:pPr>
        <w:pStyle w:val="16"/>
        <w:tabs>
          <w:tab w:val="right" w:leader="dot" w:pos="8306"/>
        </w:tabs>
        <w:spacing w:line="360" w:lineRule="auto"/>
        <w:rPr>
          <w:rFonts w:ascii="宋体" w:hAnsi="宋体" w:cs="宋体"/>
          <w:b/>
          <w:sz w:val="24"/>
        </w:rPr>
      </w:pPr>
      <w:r>
        <w:rPr>
          <w:rFonts w:hint="eastAsia" w:ascii="宋体" w:hAnsi="宋体" w:cs="宋体"/>
          <w:b/>
          <w:bCs/>
          <w:sz w:val="24"/>
        </w:rPr>
        <w:fldChar w:fldCharType="end"/>
      </w:r>
    </w:p>
    <w:p>
      <w:pPr>
        <w:spacing w:line="360" w:lineRule="auto"/>
      </w:pPr>
    </w:p>
    <w:p>
      <w:pPr>
        <w:numPr>
          <w:ilvl w:val="0"/>
          <w:numId w:val="1"/>
        </w:numPr>
        <w:spacing w:line="360" w:lineRule="auto"/>
        <w:jc w:val="center"/>
        <w:outlineLvl w:val="0"/>
        <w:rPr>
          <w:rFonts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17273"/>
      <w:r>
        <w:rPr>
          <w:rFonts w:hint="eastAsia" w:ascii="宋体" w:hAnsi="宋体" w:cs="宋体"/>
          <w:b/>
          <w:bCs/>
          <w:sz w:val="24"/>
        </w:rPr>
        <w:t>招标邀请书（招标公告）</w:t>
      </w:r>
      <w:bookmarkEnd w:id="7"/>
    </w:p>
    <w:p>
      <w:pPr>
        <w:spacing w:line="360" w:lineRule="auto"/>
        <w:ind w:firstLine="480" w:firstLineChars="200"/>
        <w:jc w:val="left"/>
        <w:rPr>
          <w:rFonts w:ascii="宋体" w:hAnsi="宋体" w:cs="宋体"/>
          <w:sz w:val="24"/>
        </w:rPr>
      </w:pPr>
      <w:r>
        <w:rPr>
          <w:rFonts w:hint="eastAsia" w:ascii="宋体" w:hAnsi="宋体" w:cs="宋体"/>
          <w:sz w:val="24"/>
        </w:rPr>
        <w:t xml:space="preserve">深圳国际招标咨询有限公司（以下简称采购代理机构）受深圳市前海深港现代服务业合作区管理局委托就 </w:t>
      </w:r>
      <w:r>
        <w:rPr>
          <w:rFonts w:hint="eastAsia" w:ascii="宋体" w:hAnsi="宋体" w:cs="宋体"/>
          <w:sz w:val="24"/>
          <w:u w:val="single"/>
        </w:rPr>
        <w:t>前海发展观测观察评价模型咨询项目</w:t>
      </w:r>
      <w:r>
        <w:rPr>
          <w:rFonts w:hint="eastAsia" w:ascii="宋体" w:hAnsi="宋体" w:cs="宋体"/>
          <w:sz w:val="24"/>
        </w:rPr>
        <w:t>（招标编号：QH2026072）采用简易招标方式采购，欢迎符合投标人资格要求的专业供应商积极参加投标。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sz w:val="24"/>
              </w:rPr>
            </w:pPr>
            <w:r>
              <w:rPr>
                <w:rFonts w:hint="eastAsia" w:ascii="宋体" w:hAnsi="宋体" w:cs="宋体"/>
                <w:sz w:val="24"/>
              </w:rPr>
              <w:t>招标编号</w:t>
            </w:r>
          </w:p>
        </w:tc>
        <w:tc>
          <w:tcPr>
            <w:tcW w:w="7015" w:type="dxa"/>
            <w:noWrap w:val="0"/>
            <w:vAlign w:val="center"/>
          </w:tcPr>
          <w:p>
            <w:pPr>
              <w:spacing w:line="360" w:lineRule="auto"/>
              <w:rPr>
                <w:rFonts w:hint="eastAsia" w:ascii="宋体" w:hAnsi="宋体" w:cs="宋体"/>
                <w:sz w:val="24"/>
              </w:rPr>
            </w:pPr>
            <w:r>
              <w:rPr>
                <w:rFonts w:hint="eastAsia" w:ascii="宋体" w:hAnsi="宋体" w:cs="宋体"/>
                <w:sz w:val="24"/>
              </w:rPr>
              <w:t>QH2026072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15" w:type="dxa"/>
            <w:noWrap w:val="0"/>
            <w:vAlign w:val="center"/>
          </w:tcPr>
          <w:p>
            <w:pPr>
              <w:spacing w:line="360" w:lineRule="auto"/>
              <w:rPr>
                <w:rFonts w:hint="eastAsia" w:ascii="宋体" w:hAnsi="宋体" w:cs="宋体"/>
                <w:sz w:val="24"/>
              </w:rPr>
            </w:pPr>
            <w:r>
              <w:rPr>
                <w:rFonts w:hint="eastAsia" w:ascii="宋体" w:hAnsi="宋体" w:cs="宋体"/>
                <w:sz w:val="24"/>
              </w:rPr>
              <w:t>前海发展观测观察评价模型咨询项目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676" w:type="dxa"/>
            <w:noWrap w:val="0"/>
            <w:vAlign w:val="center"/>
          </w:tcPr>
          <w:p>
            <w:pPr>
              <w:spacing w:line="360" w:lineRule="auto"/>
              <w:jc w:val="center"/>
              <w:rPr>
                <w:rFonts w:ascii="宋体" w:hAnsi="宋体" w:cs="宋体"/>
                <w:sz w:val="24"/>
              </w:rPr>
            </w:pPr>
            <w:r>
              <w:rPr>
                <w:rFonts w:hint="eastAsia" w:ascii="宋体" w:hAnsi="宋体" w:cs="宋体"/>
                <w:sz w:val="24"/>
              </w:rPr>
              <w:t>标的内容</w:t>
            </w:r>
          </w:p>
        </w:tc>
        <w:tc>
          <w:tcPr>
            <w:tcW w:w="7015" w:type="dxa"/>
            <w:noWrap w:val="0"/>
            <w:vAlign w:val="center"/>
          </w:tcPr>
          <w:p>
            <w:pPr>
              <w:spacing w:line="360" w:lineRule="auto"/>
            </w:pPr>
            <w:r>
              <w:rPr>
                <w:rFonts w:hint="eastAsia" w:ascii="宋体" w:hAnsi="宋体" w:cs="宋体"/>
                <w:sz w:val="24"/>
              </w:rPr>
              <w:t>长期以来，前海面临统计标准不统一、信息采集不完善、监测体系不健全、观察评价不够立体全面等突出问题。为有效提升前海管理局对区域发展态势的感知、研判与预警能力，为科学决策、精准施策提供支撑，本项目将推动建立前海发展观测观察评价研究模型，围绕《前海规划》赋予的“全面深化改革创新试验平台、高水平对外开放门户枢纽、‌深港深度融合发展引领区、现代服务业高质量发展高地”四大定位，完善观测评价的指标体系，并根据评估结果，形成前海发展分析报告。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76" w:type="dxa"/>
            <w:noWrap w:val="0"/>
            <w:vAlign w:val="center"/>
          </w:tcPr>
          <w:p>
            <w:pPr>
              <w:spacing w:line="360" w:lineRule="auto"/>
              <w:jc w:val="center"/>
              <w:rPr>
                <w:rFonts w:ascii="宋体" w:hAnsi="宋体" w:cs="宋体"/>
                <w:sz w:val="24"/>
              </w:rPr>
            </w:pPr>
            <w:r>
              <w:rPr>
                <w:rFonts w:hint="eastAsia" w:ascii="宋体" w:hAnsi="宋体" w:cs="宋体"/>
                <w:sz w:val="24"/>
              </w:rPr>
              <w:t>项目预算</w:t>
            </w:r>
          </w:p>
          <w:p>
            <w:pPr>
              <w:spacing w:line="360" w:lineRule="auto"/>
              <w:jc w:val="center"/>
              <w:rPr>
                <w:rFonts w:ascii="宋体" w:hAnsi="宋体" w:cs="宋体"/>
                <w:sz w:val="24"/>
              </w:rPr>
            </w:pPr>
            <w:r>
              <w:rPr>
                <w:rFonts w:hint="eastAsia" w:ascii="宋体" w:hAnsi="宋体" w:cs="宋体"/>
                <w:sz w:val="24"/>
              </w:rPr>
              <w:t>（最高限价）</w:t>
            </w:r>
          </w:p>
        </w:tc>
        <w:tc>
          <w:tcPr>
            <w:tcW w:w="7015" w:type="dxa"/>
            <w:noWrap w:val="0"/>
            <w:vAlign w:val="center"/>
          </w:tcPr>
          <w:p>
            <w:pPr>
              <w:spacing w:line="360" w:lineRule="auto"/>
              <w:rPr>
                <w:rFonts w:ascii="宋体" w:hAnsi="宋体" w:cs="宋体"/>
                <w:sz w:val="24"/>
              </w:rPr>
            </w:pPr>
            <w:r>
              <w:rPr>
                <w:rFonts w:hint="eastAsia" w:ascii="宋体" w:hAnsi="宋体" w:cs="宋体"/>
                <w:sz w:val="24"/>
              </w:rPr>
              <w:t>30万元（人民币叁拾万元整）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ascii="宋体" w:hAnsi="宋体" w:cs="宋体"/>
                <w:kern w:val="0"/>
                <w:sz w:val="24"/>
              </w:rPr>
            </w:pPr>
            <w:r>
              <w:rPr>
                <w:rFonts w:hint="eastAsia" w:ascii="宋体" w:hAnsi="宋体" w:cs="宋体"/>
                <w:kern w:val="0"/>
                <w:sz w:val="24"/>
              </w:rPr>
              <w:t>标书获得办法</w:t>
            </w:r>
          </w:p>
        </w:tc>
        <w:tc>
          <w:tcPr>
            <w:tcW w:w="7015" w:type="dxa"/>
            <w:noWrap w:val="0"/>
            <w:vAlign w:val="center"/>
          </w:tcPr>
          <w:p>
            <w:pPr>
              <w:spacing w:line="360" w:lineRule="auto"/>
              <w:rPr>
                <w:rFonts w:ascii="宋体" w:hAnsi="宋体" w:cs="宋体"/>
                <w:kern w:val="0"/>
                <w:sz w:val="24"/>
              </w:rPr>
            </w:pPr>
            <w:r>
              <w:rPr>
                <w:rFonts w:hint="eastAsia" w:ascii="宋体" w:hAnsi="宋体" w:cs="宋体"/>
                <w:kern w:val="0"/>
                <w:sz w:val="24"/>
              </w:rPr>
              <w:t>招标文件为电子版，投标人可在前海管理局官网免费下载。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ascii="宋体" w:hAnsi="宋体" w:cs="宋体"/>
                <w:kern w:val="0"/>
                <w:sz w:val="24"/>
              </w:rPr>
            </w:pPr>
            <w:r>
              <w:rPr>
                <w:rFonts w:hint="eastAsia" w:ascii="宋体" w:hAnsi="宋体" w:cs="宋体"/>
                <w:kern w:val="0"/>
                <w:sz w:val="24"/>
              </w:rPr>
              <w:t>报名方式</w:t>
            </w:r>
          </w:p>
        </w:tc>
        <w:tc>
          <w:tcPr>
            <w:tcW w:w="7015" w:type="dxa"/>
            <w:noWrap w:val="0"/>
            <w:vAlign w:val="center"/>
          </w:tcPr>
          <w:p>
            <w:pPr>
              <w:adjustRightInd w:val="0"/>
              <w:snapToGrid w:val="0"/>
              <w:spacing w:line="360" w:lineRule="auto"/>
              <w:jc w:val="left"/>
              <w:rPr>
                <w:rFonts w:ascii="宋体" w:hAnsi="宋体" w:cs="宋体"/>
                <w:kern w:val="0"/>
                <w:sz w:val="24"/>
              </w:rPr>
            </w:pPr>
            <w:r>
              <w:rPr>
                <w:rFonts w:hint="eastAsia" w:ascii="宋体" w:hAnsi="宋体" w:cs="宋体"/>
                <w:kern w:val="0"/>
                <w:sz w:val="24"/>
              </w:rPr>
              <w:t>将投标文件</w:t>
            </w:r>
            <w:r>
              <w:rPr>
                <w:rFonts w:hint="eastAsia" w:ascii="宋体" w:hAnsi="宋体" w:cs="宋体"/>
                <w:kern w:val="0"/>
                <w:sz w:val="24"/>
                <w:lang w:bidi="ar"/>
              </w:rPr>
              <w:t>（一式五份，正本1份，副本4份，附电子版，电子版是以光盘、U盘或硬盘等移动存储介质提交的加盖公章的PDF电子投标文件）</w:t>
            </w:r>
            <w:r>
              <w:rPr>
                <w:rFonts w:hint="eastAsia" w:ascii="宋体" w:hAnsi="宋体" w:cs="宋体"/>
                <w:kern w:val="0"/>
                <w:sz w:val="24"/>
              </w:rPr>
              <w:t>密封并在</w:t>
            </w:r>
            <w:r>
              <w:rPr>
                <w:rFonts w:hint="eastAsia" w:ascii="宋体" w:hAnsi="宋体" w:cs="宋体"/>
                <w:b/>
                <w:bCs/>
                <w:kern w:val="0"/>
                <w:sz w:val="24"/>
              </w:rPr>
              <w:t>2026年</w:t>
            </w:r>
            <w:r>
              <w:rPr>
                <w:rFonts w:hint="eastAsia" w:ascii="宋体" w:hAnsi="宋体" w:cs="宋体"/>
                <w:b/>
                <w:bCs/>
                <w:kern w:val="0"/>
                <w:sz w:val="24"/>
                <w:lang w:val="en-US" w:eastAsia="zh-CN"/>
              </w:rPr>
              <w:t>6月23</w:t>
            </w:r>
            <w:r>
              <w:rPr>
                <w:rFonts w:hint="eastAsia" w:ascii="宋体" w:hAnsi="宋体" w:cs="宋体"/>
                <w:b/>
                <w:bCs/>
                <w:kern w:val="0"/>
                <w:sz w:val="24"/>
              </w:rPr>
              <w:t>日10：00时（北京时间）</w:t>
            </w:r>
            <w:r>
              <w:rPr>
                <w:rFonts w:hint="eastAsia" w:ascii="宋体" w:hAnsi="宋体" w:cs="宋体"/>
                <w:kern w:val="0"/>
                <w:sz w:val="24"/>
              </w:rPr>
              <w:t>前送达（现场递交或邮寄）至深圳市南山区前海深港合作区桂湾五路123号前海管理局前海大厦T1栋2409室</w:t>
            </w:r>
          </w:p>
          <w:p>
            <w:pPr>
              <w:adjustRightInd w:val="0"/>
              <w:snapToGrid w:val="0"/>
              <w:spacing w:line="360" w:lineRule="auto"/>
              <w:jc w:val="left"/>
              <w:rPr>
                <w:rFonts w:hint="eastAsia" w:ascii="宋体" w:hAnsi="宋体" w:cs="宋体"/>
                <w:kern w:val="0"/>
                <w:sz w:val="24"/>
              </w:rPr>
            </w:pPr>
            <w:r>
              <w:rPr>
                <w:rFonts w:hint="eastAsia" w:ascii="宋体" w:hAnsi="宋体" w:cs="宋体"/>
                <w:kern w:val="0"/>
                <w:sz w:val="24"/>
              </w:rPr>
              <w:t xml:space="preserve">联  系  人：崔先生 </w:t>
            </w:r>
          </w:p>
          <w:p>
            <w:pPr>
              <w:adjustRightInd w:val="0"/>
              <w:snapToGrid w:val="0"/>
              <w:spacing w:line="360" w:lineRule="auto"/>
              <w:jc w:val="left"/>
              <w:rPr>
                <w:rFonts w:ascii="宋体" w:hAnsi="宋体" w:cs="宋体"/>
                <w:kern w:val="0"/>
                <w:sz w:val="24"/>
              </w:rPr>
            </w:pPr>
            <w:r>
              <w:rPr>
                <w:rFonts w:hint="eastAsia" w:ascii="宋体" w:hAnsi="宋体" w:cs="宋体"/>
                <w:kern w:val="0"/>
                <w:sz w:val="24"/>
              </w:rPr>
              <w:t>电      话：0755-88105232</w:t>
            </w:r>
            <w:r>
              <w:rPr>
                <w:rFonts w:hint="eastAsia" w:ascii="宋体" w:hAnsi="宋体" w:cs="宋体"/>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noWrap w:val="0"/>
            <w:vAlign w:val="center"/>
          </w:tcPr>
          <w:p>
            <w:pPr>
              <w:spacing w:line="360" w:lineRule="auto"/>
              <w:jc w:val="center"/>
              <w:rPr>
                <w:rFonts w:ascii="宋体" w:hAnsi="宋体" w:cs="宋体"/>
                <w:kern w:val="0"/>
                <w:sz w:val="24"/>
              </w:rPr>
            </w:pPr>
            <w:r>
              <w:rPr>
                <w:rFonts w:hint="eastAsia" w:ascii="宋体" w:hAnsi="宋体" w:cs="宋体"/>
                <w:kern w:val="0"/>
                <w:sz w:val="24"/>
              </w:rPr>
              <w:t>投标人资格要求</w:t>
            </w:r>
          </w:p>
        </w:tc>
        <w:tc>
          <w:tcPr>
            <w:tcW w:w="7015" w:type="dxa"/>
            <w:noWrap w:val="0"/>
            <w:vAlign w:val="center"/>
          </w:tcPr>
          <w:p>
            <w:pPr>
              <w:numPr>
                <w:ilvl w:val="0"/>
                <w:numId w:val="2"/>
              </w:numPr>
              <w:spacing w:line="360" w:lineRule="auto"/>
              <w:rPr>
                <w:rFonts w:ascii="宋体" w:hAnsi="宋体" w:cs="宋体"/>
                <w:kern w:val="0"/>
                <w:sz w:val="24"/>
              </w:rPr>
            </w:pPr>
            <w:r>
              <w:rPr>
                <w:rFonts w:hint="eastAsia" w:ascii="宋体" w:hAnsi="宋体" w:cs="宋体"/>
                <w:kern w:val="0"/>
                <w:sz w:val="24"/>
              </w:rPr>
              <w:t>在中华人民共和国境内注册的具有独立法人资格或具有独立承担民事责任的能力的其他组织</w:t>
            </w:r>
            <w:r>
              <w:rPr>
                <w:rFonts w:hint="eastAsia" w:ascii="宋体" w:hAnsi="宋体" w:cs="宋体"/>
                <w:b/>
                <w:bCs/>
                <w:kern w:val="0"/>
                <w:sz w:val="24"/>
              </w:rPr>
              <w:t>（提供营业执照或事业单位法人证书等证明资料复印件或扫描件，原件备查。如果参与投标的供应商为分公司（或</w:t>
            </w:r>
            <w:r>
              <w:rPr>
                <w:rFonts w:hint="eastAsia" w:ascii="宋体" w:hAnsi="宋体" w:cs="宋体"/>
                <w:b/>
                <w:bCs/>
                <w:kern w:val="0"/>
                <w:sz w:val="24"/>
                <w:lang w:eastAsia="zh-CN"/>
              </w:rPr>
              <w:t>分支机构</w:t>
            </w:r>
            <w:r>
              <w:rPr>
                <w:rFonts w:hint="eastAsia" w:ascii="宋体" w:hAnsi="宋体" w:cs="宋体"/>
                <w:b/>
                <w:bCs/>
                <w:kern w:val="0"/>
                <w:sz w:val="24"/>
              </w:rPr>
              <w:t>）则须提供分公司（或</w:t>
            </w:r>
            <w:r>
              <w:rPr>
                <w:rFonts w:hint="eastAsia" w:ascii="宋体" w:hAnsi="宋体" w:cs="宋体"/>
                <w:b/>
                <w:bCs/>
                <w:kern w:val="0"/>
                <w:sz w:val="24"/>
                <w:lang w:eastAsia="zh-CN"/>
              </w:rPr>
              <w:t>分支机构</w:t>
            </w:r>
            <w:r>
              <w:rPr>
                <w:rFonts w:hint="eastAsia" w:ascii="宋体" w:hAnsi="宋体" w:cs="宋体"/>
                <w:b/>
                <w:bCs/>
                <w:kern w:val="0"/>
                <w:sz w:val="24"/>
              </w:rPr>
              <w:t>）营业执照并同时提供总公司（或</w:t>
            </w:r>
            <w:r>
              <w:rPr>
                <w:rFonts w:hint="eastAsia" w:ascii="宋体" w:hAnsi="宋体" w:cs="宋体"/>
                <w:b/>
                <w:bCs/>
                <w:kern w:val="0"/>
                <w:sz w:val="24"/>
                <w:lang w:eastAsia="zh-CN"/>
              </w:rPr>
              <w:t>总部机构</w:t>
            </w:r>
            <w:r>
              <w:rPr>
                <w:rFonts w:hint="eastAsia" w:ascii="宋体" w:hAnsi="宋体" w:cs="宋体"/>
                <w:b/>
                <w:bCs/>
                <w:kern w:val="0"/>
                <w:sz w:val="24"/>
              </w:rPr>
              <w:t>）营业执照及总公司（或</w:t>
            </w:r>
            <w:r>
              <w:rPr>
                <w:rFonts w:hint="eastAsia" w:ascii="宋体" w:hAnsi="宋体" w:cs="宋体"/>
                <w:b/>
                <w:bCs/>
                <w:kern w:val="0"/>
                <w:sz w:val="24"/>
                <w:lang w:eastAsia="zh-CN"/>
              </w:rPr>
              <w:t>总部机构</w:t>
            </w:r>
            <w:r>
              <w:rPr>
                <w:rFonts w:hint="eastAsia" w:ascii="宋体" w:hAnsi="宋体" w:cs="宋体"/>
                <w:b/>
                <w:bCs/>
                <w:kern w:val="0"/>
                <w:sz w:val="24"/>
              </w:rPr>
              <w:t>）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w:t>
            </w:r>
            <w:r>
              <w:rPr>
                <w:rFonts w:hint="eastAsia" w:ascii="宋体" w:hAnsi="宋体" w:cs="宋体"/>
                <w:kern w:val="0"/>
                <w:sz w:val="24"/>
              </w:rPr>
              <w:t>个体工商户参与投标的需注明经营者信息。</w:t>
            </w:r>
            <w:r>
              <w:rPr>
                <w:rFonts w:hint="eastAsia" w:ascii="宋体" w:hAnsi="宋体" w:cs="宋体"/>
                <w:b/>
                <w:bCs/>
                <w:kern w:val="0"/>
                <w:sz w:val="24"/>
              </w:rPr>
              <w:t>以上证明材料均需提供加盖投标人单位公章的复印件或扫描件，原件备查</w:t>
            </w:r>
            <w:r>
              <w:rPr>
                <w:rFonts w:hint="eastAsia" w:ascii="宋体" w:hAnsi="宋体" w:cs="宋体"/>
                <w:kern w:val="0"/>
                <w:sz w:val="24"/>
              </w:rPr>
              <w:t>；</w:t>
            </w:r>
          </w:p>
          <w:p>
            <w:pPr>
              <w:spacing w:line="360" w:lineRule="auto"/>
              <w:rPr>
                <w:rFonts w:ascii="宋体" w:hAnsi="宋体" w:cs="宋体"/>
                <w:kern w:val="0"/>
                <w:sz w:val="24"/>
              </w:rPr>
            </w:pPr>
            <w:r>
              <w:rPr>
                <w:rFonts w:ascii="宋体" w:hAnsi="宋体" w:cs="宋体"/>
                <w:kern w:val="0"/>
                <w:sz w:val="24"/>
              </w:rPr>
              <w:t>（2）</w:t>
            </w:r>
            <w:r>
              <w:rPr>
                <w:rFonts w:hint="eastAsia" w:ascii="宋体" w:hAnsi="宋体" w:cs="宋体"/>
                <w:kern w:val="0"/>
                <w:sz w:val="24"/>
              </w:rPr>
              <w:t>参与政府采购项目投标的供应商近三年内（投标人成立不足三年的可从成立之日起算）无行贿犯罪记录</w:t>
            </w:r>
            <w:r>
              <w:rPr>
                <w:rFonts w:hint="eastAsia" w:ascii="宋体" w:hAnsi="宋体" w:cs="宋体"/>
                <w:b/>
                <w:bCs/>
                <w:kern w:val="0"/>
                <w:sz w:val="24"/>
              </w:rPr>
              <w:t>（由投标人在《政府采购投标及履约承诺函》中作出声明并加盖投标人单位公章）</w:t>
            </w:r>
            <w:r>
              <w:rPr>
                <w:rFonts w:hint="eastAsia" w:ascii="宋体" w:hAnsi="宋体" w:cs="宋体"/>
                <w:kern w:val="0"/>
                <w:sz w:val="24"/>
              </w:rPr>
              <w:t>；</w:t>
            </w:r>
          </w:p>
          <w:p>
            <w:pPr>
              <w:spacing w:line="360" w:lineRule="auto"/>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kern w:val="0"/>
                <w:sz w:val="24"/>
              </w:rPr>
              <w:t>（由投标人在《政府采购投标及履约承诺函》中作出声明并加盖投标人单位公章）</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kern w:val="0"/>
                <w:sz w:val="24"/>
              </w:rPr>
            </w:pPr>
            <w:r>
              <w:rPr>
                <w:rFonts w:hint="eastAsia" w:ascii="宋体" w:hAnsi="宋体" w:cs="宋体"/>
                <w:kern w:val="0"/>
                <w:sz w:val="24"/>
              </w:rPr>
              <w:t>（7）未被列入失信被执行人、重大税收违法案件当事人名单</w:t>
            </w:r>
            <w:r>
              <w:rPr>
                <w:rFonts w:ascii="宋体" w:hAnsi="宋体" w:cs="宋体"/>
                <w:kern w:val="0"/>
                <w:sz w:val="24"/>
              </w:rPr>
              <w:t>（重大税收违法失信主体）</w:t>
            </w:r>
            <w:r>
              <w:rPr>
                <w:rFonts w:hint="eastAsia" w:ascii="宋体" w:hAnsi="宋体" w:cs="宋体"/>
                <w:kern w:val="0"/>
                <w:sz w:val="24"/>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注：采购代理机构将通过“信用中国”中“专项查询”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hint="eastAsia" w:ascii="宋体" w:hAnsi="宋体" w:cs="宋体"/>
                <w:kern w:val="0"/>
                <w:sz w:val="24"/>
              </w:rPr>
            </w:pPr>
            <w:r>
              <w:rPr>
                <w:rFonts w:hint="eastAsia" w:ascii="宋体" w:hAnsi="宋体" w:cs="宋体"/>
                <w:kern w:val="0"/>
                <w:sz w:val="24"/>
              </w:rPr>
              <w:t>（8）本项目不接受联合体投标，不允许转包、分包。</w:t>
            </w:r>
          </w:p>
          <w:p>
            <w:pPr>
              <w:spacing w:line="360" w:lineRule="auto"/>
              <w:rPr>
                <w:rFonts w:ascii="宋体" w:hAnsi="宋体" w:cs="宋体"/>
                <w:kern w:val="0"/>
                <w:sz w:val="24"/>
              </w:rPr>
            </w:pPr>
            <w:r>
              <w:rPr>
                <w:rFonts w:hint="eastAsia" w:ascii="宋体" w:hAnsi="宋体" w:cs="宋体"/>
                <w:kern w:val="0"/>
                <w:sz w:val="24"/>
              </w:rPr>
              <w:t>（9）本项目不专门面向中小企业采购。</w:t>
            </w:r>
            <w:r>
              <w:rPr>
                <w:rFonts w:hint="eastAsia" w:ascii="宋体" w:hAnsi="宋体" w:cs="宋体"/>
                <w:b/>
                <w:bCs/>
                <w:kern w:val="0"/>
                <w:sz w:val="24"/>
              </w:rPr>
              <w:t>本项目所属行业为：其他未列明行业。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ascii="宋体" w:hAnsi="宋体" w:cs="宋体"/>
                <w:kern w:val="0"/>
                <w:sz w:val="24"/>
              </w:rPr>
            </w:pPr>
            <w:r>
              <w:rPr>
                <w:rFonts w:hint="eastAsia" w:ascii="宋体" w:hAnsi="宋体" w:cs="宋体"/>
                <w:kern w:val="0"/>
                <w:sz w:val="24"/>
              </w:rPr>
              <w:t>报价要求</w:t>
            </w:r>
          </w:p>
        </w:tc>
        <w:tc>
          <w:tcPr>
            <w:tcW w:w="7015" w:type="dxa"/>
            <w:noWrap w:val="0"/>
            <w:vAlign w:val="center"/>
          </w:tcPr>
          <w:p>
            <w:pPr>
              <w:numPr>
                <w:ilvl w:val="0"/>
                <w:numId w:val="3"/>
              </w:numPr>
              <w:spacing w:line="360" w:lineRule="auto"/>
              <w:rPr>
                <w:rFonts w:ascii="宋体" w:hAnsi="宋体" w:cs="宋体"/>
                <w:sz w:val="24"/>
              </w:rPr>
            </w:pPr>
            <w:r>
              <w:rPr>
                <w:rFonts w:hint="eastAsia" w:ascii="宋体" w:hAnsi="宋体" w:cs="宋体"/>
                <w:sz w:val="24"/>
              </w:rPr>
              <w:t>本次投标为总价包干，投标报价总价作为中标人与采购人签订的合同金额。投标人的报价不可高于预算（限价），否则投标人的投标文件视同无效。投标报价包括了投标人完成本招标项目而发生的全部费用，包括但不限于服务成本、法定税费和企业的利润。</w:t>
            </w:r>
          </w:p>
          <w:p>
            <w:pPr>
              <w:numPr>
                <w:ilvl w:val="0"/>
                <w:numId w:val="3"/>
              </w:numPr>
              <w:spacing w:line="360" w:lineRule="auto"/>
              <w:rPr>
                <w:rFonts w:ascii="宋体" w:hAnsi="宋体" w:cs="宋体"/>
                <w:sz w:val="24"/>
              </w:rPr>
            </w:pPr>
            <w:r>
              <w:rPr>
                <w:rFonts w:hint="eastAsia" w:ascii="宋体" w:hAnsi="宋体" w:cs="宋体"/>
                <w:bCs/>
                <w:sz w:val="24"/>
              </w:rPr>
              <w:t>投标人应根据本企业的成本自行决定报价；</w:t>
            </w:r>
            <w:r>
              <w:rPr>
                <w:rFonts w:hint="eastAsia" w:ascii="宋体" w:hAnsi="宋体" w:cs="宋体"/>
                <w:sz w:val="24"/>
              </w:rPr>
              <w:t>评标时，评标委员会认为投标人的报价明显异常低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ascii="宋体" w:hAnsi="宋体" w:cs="宋体"/>
                <w:sz w:val="24"/>
              </w:rPr>
            </w:pPr>
            <w:r>
              <w:rPr>
                <w:rFonts w:hint="eastAsia" w:ascii="宋体" w:hAnsi="宋体" w:cs="宋体"/>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ascii="宋体" w:hAnsi="宋体" w:cs="宋体"/>
                <w:sz w:val="24"/>
              </w:rPr>
            </w:pPr>
            <w:r>
              <w:rPr>
                <w:rFonts w:hint="eastAsia" w:ascii="宋体" w:hAnsi="宋体" w:cs="宋体"/>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ascii="宋体" w:hAnsi="宋体" w:cs="宋体"/>
                <w:kern w:val="0"/>
                <w:sz w:val="24"/>
              </w:rPr>
            </w:pPr>
            <w:r>
              <w:rPr>
                <w:rFonts w:hint="eastAsia" w:ascii="宋体" w:hAnsi="宋体" w:cs="宋体"/>
                <w:kern w:val="0"/>
                <w:sz w:val="24"/>
              </w:rPr>
              <w:t>联系方式</w:t>
            </w:r>
          </w:p>
        </w:tc>
        <w:tc>
          <w:tcPr>
            <w:tcW w:w="7015" w:type="dxa"/>
            <w:noWrap w:val="0"/>
            <w:vAlign w:val="center"/>
          </w:tcPr>
          <w:p>
            <w:pPr>
              <w:spacing w:line="360" w:lineRule="auto"/>
              <w:rPr>
                <w:rFonts w:ascii="宋体" w:hAnsi="宋体" w:cs="宋体"/>
                <w:kern w:val="0"/>
                <w:sz w:val="24"/>
              </w:rPr>
            </w:pPr>
            <w:r>
              <w:rPr>
                <w:rFonts w:hint="eastAsia" w:ascii="宋体" w:hAnsi="宋体" w:cs="宋体"/>
                <w:kern w:val="0"/>
                <w:sz w:val="24"/>
              </w:rPr>
              <w:t>1.采购人信息</w:t>
            </w:r>
          </w:p>
          <w:p>
            <w:pPr>
              <w:spacing w:line="360" w:lineRule="auto"/>
              <w:rPr>
                <w:rFonts w:ascii="宋体" w:hAnsi="宋体" w:cs="宋体"/>
                <w:kern w:val="0"/>
                <w:sz w:val="24"/>
              </w:rPr>
            </w:pPr>
            <w:bookmarkStart w:id="8" w:name="_Toc28359009"/>
            <w:bookmarkStart w:id="9" w:name="_Toc28359086"/>
            <w:r>
              <w:rPr>
                <w:rFonts w:hint="eastAsia" w:ascii="宋体" w:hAnsi="宋体" w:cs="宋体"/>
                <w:kern w:val="0"/>
                <w:sz w:val="24"/>
              </w:rPr>
              <w:t>名  称：深圳市前海深港现代服务业合作区管理局</w:t>
            </w:r>
          </w:p>
          <w:p>
            <w:pPr>
              <w:spacing w:line="360" w:lineRule="auto"/>
              <w:rPr>
                <w:rFonts w:ascii="宋体" w:hAnsi="宋体" w:cs="宋体"/>
                <w:kern w:val="0"/>
                <w:sz w:val="24"/>
              </w:rPr>
            </w:pPr>
            <w:r>
              <w:rPr>
                <w:rFonts w:hint="eastAsia" w:ascii="宋体" w:hAnsi="宋体" w:cs="宋体"/>
                <w:kern w:val="0"/>
                <w:sz w:val="24"/>
              </w:rPr>
              <w:t>地  址：深圳市南山区前海深港合作区桂湾五路123号前海管理局前海大厦T1栋2409室　　　　　　　　　</w:t>
            </w:r>
          </w:p>
          <w:p>
            <w:pPr>
              <w:spacing w:line="360" w:lineRule="auto"/>
              <w:rPr>
                <w:rFonts w:hint="eastAsia" w:ascii="宋体" w:hAnsi="宋体" w:cs="宋体"/>
                <w:kern w:val="0"/>
                <w:sz w:val="24"/>
              </w:rPr>
            </w:pPr>
            <w:r>
              <w:rPr>
                <w:rFonts w:hint="eastAsia" w:ascii="宋体" w:hAnsi="宋体" w:cs="宋体"/>
                <w:kern w:val="0"/>
                <w:sz w:val="24"/>
              </w:rPr>
              <w:t>联系人：崔先生</w:t>
            </w:r>
          </w:p>
          <w:p>
            <w:pPr>
              <w:widowControl/>
              <w:jc w:val="left"/>
              <w:rPr>
                <w:rFonts w:hint="eastAsia" w:ascii="宋体" w:hAnsi="宋体" w:cs="宋体"/>
                <w:kern w:val="0"/>
                <w:sz w:val="24"/>
              </w:rPr>
            </w:pPr>
            <w:r>
              <w:rPr>
                <w:rFonts w:hint="eastAsia" w:ascii="宋体" w:hAnsi="宋体" w:cs="宋体"/>
                <w:kern w:val="0"/>
                <w:sz w:val="24"/>
              </w:rPr>
              <w:t>电  话：</w:t>
            </w:r>
            <w:bookmarkEnd w:id="8"/>
            <w:bookmarkEnd w:id="9"/>
            <w:r>
              <w:rPr>
                <w:rFonts w:hint="eastAsia" w:ascii="宋体" w:hAnsi="宋体" w:cs="宋体"/>
                <w:kern w:val="0"/>
                <w:sz w:val="24"/>
              </w:rPr>
              <w:t>0755-88105232</w:t>
            </w:r>
          </w:p>
          <w:p>
            <w:pPr>
              <w:spacing w:line="360" w:lineRule="auto"/>
              <w:rPr>
                <w:rFonts w:hint="eastAsia" w:ascii="宋体" w:hAnsi="宋体" w:cs="宋体"/>
                <w:kern w:val="0"/>
                <w:sz w:val="24"/>
              </w:rPr>
            </w:pPr>
            <w:r>
              <w:rPr>
                <w:rFonts w:hint="eastAsia" w:ascii="宋体" w:hAnsi="宋体" w:cs="宋体"/>
                <w:kern w:val="0"/>
                <w:sz w:val="24"/>
              </w:rPr>
              <w:t>2.采购代理机构信息</w:t>
            </w:r>
          </w:p>
          <w:p>
            <w:pPr>
              <w:spacing w:line="360" w:lineRule="auto"/>
              <w:rPr>
                <w:rFonts w:hint="eastAsia" w:ascii="宋体" w:hAnsi="宋体" w:cs="宋体"/>
                <w:kern w:val="0"/>
                <w:sz w:val="24"/>
              </w:rPr>
            </w:pPr>
            <w:r>
              <w:rPr>
                <w:rFonts w:hint="eastAsia" w:ascii="宋体" w:hAnsi="宋体" w:cs="宋体"/>
                <w:kern w:val="0"/>
                <w:sz w:val="24"/>
              </w:rPr>
              <w:t xml:space="preserve">名　  称：深圳国际招标咨询有限公司  </w:t>
            </w:r>
          </w:p>
          <w:p>
            <w:pPr>
              <w:spacing w:line="360" w:lineRule="auto"/>
              <w:rPr>
                <w:rFonts w:hint="eastAsia" w:ascii="宋体" w:hAnsi="宋体" w:cs="宋体"/>
                <w:kern w:val="0"/>
                <w:sz w:val="24"/>
              </w:rPr>
            </w:pPr>
            <w:r>
              <w:rPr>
                <w:rFonts w:hint="eastAsia" w:ascii="宋体" w:hAnsi="宋体" w:cs="宋体"/>
                <w:kern w:val="0"/>
                <w:sz w:val="24"/>
              </w:rPr>
              <w:t>地　  址：深圳市南山区沙河西路3185号南山智谷A座21/25楼</w:t>
            </w:r>
          </w:p>
          <w:p>
            <w:pPr>
              <w:spacing w:line="360" w:lineRule="auto"/>
              <w:rPr>
                <w:rFonts w:hint="eastAsia" w:ascii="宋体" w:hAnsi="宋体" w:cs="宋体"/>
                <w:kern w:val="0"/>
                <w:sz w:val="24"/>
              </w:rPr>
            </w:pPr>
            <w:r>
              <w:rPr>
                <w:rFonts w:hint="eastAsia" w:ascii="宋体" w:hAnsi="宋体" w:cs="宋体"/>
                <w:kern w:val="0"/>
                <w:sz w:val="24"/>
              </w:rPr>
              <w:t xml:space="preserve">联系方式：18599127733        </w:t>
            </w:r>
          </w:p>
          <w:p>
            <w:pPr>
              <w:spacing w:line="360" w:lineRule="auto"/>
              <w:rPr>
                <w:rFonts w:hint="eastAsia" w:ascii="宋体" w:hAnsi="宋体" w:cs="宋体"/>
                <w:kern w:val="0"/>
                <w:sz w:val="24"/>
              </w:rPr>
            </w:pPr>
            <w:r>
              <w:rPr>
                <w:rFonts w:hint="eastAsia" w:ascii="宋体" w:hAnsi="宋体" w:cs="宋体"/>
                <w:kern w:val="0"/>
                <w:sz w:val="24"/>
              </w:rPr>
              <w:t>监督举报电话：0755-26925039</w:t>
            </w:r>
          </w:p>
          <w:p>
            <w:pPr>
              <w:spacing w:line="360" w:lineRule="auto"/>
              <w:rPr>
                <w:rFonts w:hint="eastAsia" w:ascii="宋体" w:hAnsi="宋体" w:cs="宋体"/>
                <w:kern w:val="0"/>
                <w:sz w:val="24"/>
              </w:rPr>
            </w:pPr>
            <w:r>
              <w:rPr>
                <w:rFonts w:hint="eastAsia" w:ascii="宋体" w:hAnsi="宋体" w:cs="宋体"/>
                <w:kern w:val="0"/>
                <w:sz w:val="24"/>
              </w:rPr>
              <w:t>3.项目联系方式</w:t>
            </w:r>
          </w:p>
          <w:p>
            <w:pPr>
              <w:spacing w:line="360" w:lineRule="auto"/>
              <w:rPr>
                <w:rFonts w:hint="eastAsia" w:ascii="宋体" w:hAnsi="宋体" w:cs="宋体"/>
                <w:kern w:val="0"/>
                <w:sz w:val="24"/>
              </w:rPr>
            </w:pPr>
            <w:r>
              <w:rPr>
                <w:rFonts w:hint="eastAsia" w:ascii="宋体" w:hAnsi="宋体" w:cs="宋体"/>
                <w:kern w:val="0"/>
                <w:sz w:val="24"/>
              </w:rPr>
              <w:t>项目联系人：曹茜、郭金龙</w:t>
            </w:r>
          </w:p>
          <w:p>
            <w:pPr>
              <w:spacing w:line="360" w:lineRule="auto"/>
              <w:rPr>
                <w:rFonts w:ascii="宋体" w:hAnsi="宋体" w:cs="宋体"/>
                <w:kern w:val="0"/>
                <w:sz w:val="24"/>
              </w:rPr>
            </w:pPr>
            <w:r>
              <w:rPr>
                <w:rFonts w:hint="eastAsia" w:ascii="宋体" w:hAnsi="宋体" w:cs="宋体"/>
                <w:kern w:val="0"/>
                <w:sz w:val="24"/>
              </w:rPr>
              <w:t>电    话：18599127733、15322282509　　</w:t>
            </w:r>
          </w:p>
        </w:tc>
      </w:tr>
    </w:tbl>
    <w:p>
      <w:pPr>
        <w:adjustRightInd w:val="0"/>
        <w:snapToGrid w:val="0"/>
        <w:spacing w:line="360" w:lineRule="auto"/>
        <w:ind w:firstLine="480" w:firstLineChars="200"/>
        <w:jc w:val="right"/>
        <w:rPr>
          <w:rFonts w:hint="eastAsia" w:ascii="宋体" w:hAnsi="宋体" w:cs="宋体"/>
          <w:kern w:val="0"/>
          <w:sz w:val="24"/>
        </w:rPr>
      </w:pPr>
    </w:p>
    <w:p>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kern w:val="0"/>
          <w:sz w:val="24"/>
        </w:rPr>
        <w:t>深圳国际招标咨询有限公司</w:t>
      </w:r>
    </w:p>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w:t>
      </w: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 </w:t>
      </w:r>
      <w:bookmarkStart w:id="10" w:name="_Toc10214"/>
      <w:r>
        <w:rPr>
          <w:rFonts w:hint="eastAsia" w:ascii="宋体" w:hAnsi="宋体" w:cs="宋体"/>
          <w:b/>
          <w:bCs/>
          <w:sz w:val="24"/>
        </w:rPr>
        <w:t>投标须知</w:t>
      </w:r>
      <w:bookmarkEnd w:id="10"/>
    </w:p>
    <w:p>
      <w:pPr>
        <w:spacing w:line="360" w:lineRule="auto"/>
        <w:rPr>
          <w:rFonts w:ascii="宋体" w:hAnsi="宋体" w:cs="宋体"/>
          <w:sz w:val="24"/>
        </w:rPr>
      </w:pPr>
      <w:r>
        <w:rPr>
          <w:rFonts w:hint="eastAsia" w:ascii="宋体" w:hAnsi="宋体" w:cs="宋体"/>
          <w:sz w:val="24"/>
        </w:rPr>
        <w:t>1、本项目是深圳市前海深港现代服务业合作区管理局的前海发展观测观察评价模型咨询项目。</w:t>
      </w:r>
    </w:p>
    <w:p>
      <w:pPr>
        <w:spacing w:line="360" w:lineRule="auto"/>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深圳国际招标咨询有限公司受深圳市前海深港现代服务业合作区管理局委托组织采购。</w:t>
      </w:r>
    </w:p>
    <w:p>
      <w:pPr>
        <w:spacing w:line="360" w:lineRule="auto"/>
        <w:ind w:firstLine="482" w:firstLineChars="200"/>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sz w:val="24"/>
        </w:rPr>
      </w:pPr>
      <w:r>
        <w:rPr>
          <w:rFonts w:hint="eastAsia" w:ascii="宋体" w:hAnsi="宋体" w:cs="宋体"/>
          <w:b/>
          <w:bCs/>
          <w:sz w:val="24"/>
        </w:rPr>
        <w:t>2.2、对于重新组织简易招标(公开征集)，仍出现报名且符合招标文件初审的投标供应商不足3家的情形，按以下流程执行：</w:t>
      </w:r>
    </w:p>
    <w:p>
      <w:pPr>
        <w:spacing w:line="360" w:lineRule="auto"/>
        <w:ind w:firstLine="482" w:firstLineChars="200"/>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spacing w:line="360" w:lineRule="auto"/>
        <w:ind w:firstLine="482" w:firstLineChars="200"/>
        <w:rPr>
          <w:rFonts w:ascii="宋体" w:hAnsi="宋体" w:cs="宋体"/>
          <w:b/>
          <w:bCs/>
          <w:sz w:val="24"/>
        </w:rPr>
      </w:pPr>
      <w:r>
        <w:rPr>
          <w:rFonts w:hint="eastAsia" w:ascii="宋体" w:hAnsi="宋体" w:cs="宋体"/>
          <w:b/>
          <w:bCs/>
          <w:sz w:val="24"/>
        </w:rPr>
        <w:t>b.如参与投标且符合招标文件要求的供应商仅有1家，评审委员会应与投标供应商进行谈判，原则上成交价不超过最初报价的95%。</w:t>
      </w:r>
    </w:p>
    <w:p>
      <w:pPr>
        <w:spacing w:line="360" w:lineRule="auto"/>
        <w:rPr>
          <w:rFonts w:ascii="宋体" w:hAnsi="宋体" w:cs="宋体"/>
          <w:sz w:val="24"/>
        </w:rPr>
      </w:pPr>
      <w:r>
        <w:rPr>
          <w:rFonts w:hint="eastAsia" w:ascii="宋体" w:hAnsi="宋体" w:cs="宋体"/>
          <w:sz w:val="24"/>
        </w:rPr>
        <w:t>3、本项目根据项目的实际情况，公开征集符合投标人资格的供应商。请各供应商根据本文件的要求，准备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rPr>
          <w:rFonts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rPr>
          <w:rFonts w:ascii="宋体" w:hAnsi="宋体" w:cs="宋体"/>
          <w:sz w:val="24"/>
        </w:rPr>
      </w:pPr>
      <w:r>
        <w:rPr>
          <w:rFonts w:hint="eastAsia" w:ascii="宋体" w:hAnsi="宋体" w:cs="宋体"/>
          <w:sz w:val="24"/>
        </w:rPr>
        <w:t>5、响应文件要包括如下内容：</w:t>
      </w:r>
    </w:p>
    <w:p>
      <w:pPr>
        <w:numPr>
          <w:ilvl w:val="0"/>
          <w:numId w:val="4"/>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价格部分；</w:t>
      </w:r>
    </w:p>
    <w:p>
      <w:pPr>
        <w:numPr>
          <w:ilvl w:val="0"/>
          <w:numId w:val="4"/>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商务部分；</w:t>
      </w:r>
    </w:p>
    <w:p>
      <w:pPr>
        <w:numPr>
          <w:ilvl w:val="0"/>
          <w:numId w:val="4"/>
        </w:numPr>
        <w:tabs>
          <w:tab w:val="clear" w:pos="-420"/>
        </w:tabs>
        <w:snapToGrid w:val="0"/>
        <w:spacing w:after="78" w:afterLines="25" w:line="360" w:lineRule="auto"/>
        <w:ind w:left="1050" w:hanging="420"/>
        <w:rPr>
          <w:rFonts w:ascii="宋体" w:hAnsi="宋体" w:cs="宋体"/>
          <w:sz w:val="24"/>
        </w:rPr>
      </w:pPr>
      <w:r>
        <w:rPr>
          <w:rFonts w:hint="eastAsia" w:ascii="宋体" w:hAnsi="宋体" w:cs="宋体"/>
          <w:sz w:val="24"/>
        </w:rPr>
        <w:t>技术部分。</w:t>
      </w:r>
    </w:p>
    <w:p>
      <w:pPr>
        <w:snapToGrid w:val="0"/>
        <w:spacing w:line="360" w:lineRule="auto"/>
        <w:rPr>
          <w:rFonts w:ascii="宋体" w:hAnsi="宋体" w:cs="宋体"/>
          <w:b/>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一经中标，投标报价总价作为中标单位与采购人签订的合同金额，合同期限内不做调整。</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rPr>
          <w:rFonts w:ascii="宋体" w:hAnsi="宋体" w:cs="宋体"/>
          <w:sz w:val="24"/>
        </w:rPr>
      </w:pPr>
      <w:r>
        <w:rPr>
          <w:rFonts w:hint="eastAsia" w:ascii="宋体" w:hAnsi="宋体" w:cs="宋体"/>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ascii="宋体" w:hAnsi="宋体" w:cs="宋体"/>
          <w:sz w:val="24"/>
        </w:rPr>
      </w:pPr>
      <w:r>
        <w:rPr>
          <w:rFonts w:hint="eastAsia" w:ascii="宋体" w:hAnsi="宋体" w:cs="宋体"/>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ascii="宋体" w:hAnsi="宋体" w:cs="宋体"/>
          <w:sz w:val="24"/>
        </w:rPr>
      </w:pPr>
      <w:r>
        <w:rPr>
          <w:rFonts w:hint="eastAsia" w:ascii="宋体" w:hAnsi="宋体" w:cs="宋体"/>
          <w:sz w:val="24"/>
        </w:rPr>
        <w:t>9、本次采购凡涉及知识产权问题，由项目供应商负责。</w:t>
      </w:r>
    </w:p>
    <w:p>
      <w:pPr>
        <w:snapToGrid w:val="0"/>
        <w:spacing w:line="360" w:lineRule="auto"/>
        <w:rPr>
          <w:rFonts w:ascii="宋体" w:hAnsi="宋体" w:cs="宋体"/>
          <w:sz w:val="24"/>
        </w:rPr>
      </w:pPr>
      <w:r>
        <w:rPr>
          <w:rFonts w:hint="eastAsia" w:ascii="宋体" w:hAnsi="宋体" w:cs="宋体"/>
          <w:sz w:val="24"/>
        </w:rPr>
        <w:t>10、采购人将组成评审委员会，评审工作由评审委员会独立负责。</w:t>
      </w:r>
    </w:p>
    <w:p>
      <w:pPr>
        <w:snapToGrid w:val="0"/>
        <w:spacing w:line="360" w:lineRule="auto"/>
        <w:rPr>
          <w:rFonts w:ascii="宋体" w:hAnsi="宋体" w:cs="宋体"/>
          <w:sz w:val="24"/>
        </w:rPr>
      </w:pPr>
      <w:r>
        <w:rPr>
          <w:rFonts w:hint="eastAsia" w:ascii="宋体" w:hAnsi="宋体" w:cs="宋体"/>
          <w:sz w:val="24"/>
        </w:rPr>
        <w:t>11、供应商应在规定的时间内提交投标文件（现场递交或邮寄），如需供应商代表到达现场，采购人或采购代理机构将至少在开标前一个工作日发出通知，供应商代表必须在规定的时间到达现场。</w:t>
      </w:r>
    </w:p>
    <w:p>
      <w:pPr>
        <w:snapToGrid w:val="0"/>
        <w:spacing w:line="360" w:lineRule="auto"/>
        <w:rPr>
          <w:rFonts w:ascii="宋体" w:hAnsi="宋体" w:cs="宋体"/>
          <w:sz w:val="24"/>
        </w:rPr>
      </w:pPr>
      <w:r>
        <w:rPr>
          <w:rFonts w:hint="eastAsia" w:ascii="宋体" w:hAnsi="宋体" w:cs="宋体"/>
          <w:sz w:val="24"/>
        </w:rPr>
        <w:t>12、采用综合评分法的情况：评审委员会将分别对供应商递交的投标文件进行评审。</w:t>
      </w:r>
    </w:p>
    <w:p>
      <w:pPr>
        <w:snapToGrid w:val="0"/>
        <w:spacing w:line="360" w:lineRule="auto"/>
        <w:ind w:firstLine="360" w:firstLineChars="150"/>
        <w:rPr>
          <w:rFonts w:ascii="宋体" w:hAnsi="宋体" w:cs="宋体"/>
          <w:sz w:val="24"/>
        </w:rPr>
      </w:pPr>
      <w:r>
        <w:rPr>
          <w:rFonts w:hint="eastAsia" w:ascii="宋体" w:hAnsi="宋体" w:cs="宋体"/>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ascii="宋体" w:hAnsi="宋体" w:cs="宋体"/>
          <w:sz w:val="24"/>
        </w:rPr>
      </w:pPr>
      <w:r>
        <w:rPr>
          <w:rFonts w:hint="eastAsia" w:ascii="宋体" w:hAnsi="宋体" w:cs="宋体"/>
          <w:sz w:val="24"/>
        </w:rPr>
        <w:t>（2）如果二个及以上供应商的综合评分相同时，取投标价格低者为第一中标候选人。</w:t>
      </w:r>
    </w:p>
    <w:p>
      <w:pPr>
        <w:snapToGrid w:val="0"/>
        <w:spacing w:line="360" w:lineRule="auto"/>
        <w:ind w:firstLine="360" w:firstLineChars="150"/>
        <w:rPr>
          <w:rFonts w:ascii="宋体" w:hAnsi="宋体" w:cs="宋体"/>
          <w:sz w:val="24"/>
        </w:rPr>
      </w:pPr>
      <w:r>
        <w:rPr>
          <w:rFonts w:hint="eastAsia" w:ascii="宋体" w:hAnsi="宋体" w:cs="宋体"/>
          <w:sz w:val="24"/>
        </w:rPr>
        <w:t>（3）如果二个及以上供应商的综合评分相同，且投标价格也相同时，取技术部分得分高者为第一中标候选人。</w:t>
      </w:r>
    </w:p>
    <w:p>
      <w:pPr>
        <w:snapToGrid w:val="0"/>
        <w:spacing w:line="360" w:lineRule="auto"/>
        <w:rPr>
          <w:rFonts w:ascii="宋体" w:hAnsi="宋体" w:cs="宋体"/>
          <w:sz w:val="24"/>
        </w:rPr>
      </w:pPr>
      <w:r>
        <w:rPr>
          <w:rFonts w:hint="eastAsia" w:ascii="宋体" w:hAnsi="宋体" w:cs="宋体"/>
          <w:sz w:val="24"/>
        </w:rPr>
        <w:t>13、采用谈判的情况：如参与投标且符合招标文件要求的供应商仅有一家，评审委员会将与投标供应商进行谈判。</w:t>
      </w:r>
    </w:p>
    <w:p>
      <w:pPr>
        <w:snapToGrid w:val="0"/>
        <w:spacing w:line="360" w:lineRule="auto"/>
        <w:ind w:firstLine="360" w:firstLineChars="150"/>
        <w:rPr>
          <w:rFonts w:ascii="宋体" w:hAnsi="宋体" w:cs="宋体"/>
          <w:sz w:val="24"/>
        </w:rPr>
      </w:pPr>
      <w:r>
        <w:rPr>
          <w:rFonts w:hint="eastAsia" w:ascii="宋体" w:hAnsi="宋体" w:cs="宋体"/>
          <w:sz w:val="24"/>
        </w:rPr>
        <w:t>（1）供应商在谈判时由项目负责人与评审委员会进行谈判；</w:t>
      </w:r>
    </w:p>
    <w:p>
      <w:pPr>
        <w:snapToGrid w:val="0"/>
        <w:spacing w:line="360" w:lineRule="auto"/>
        <w:ind w:firstLine="360" w:firstLineChars="150"/>
        <w:rPr>
          <w:rFonts w:ascii="宋体" w:hAnsi="宋体" w:cs="宋体"/>
          <w:sz w:val="24"/>
        </w:rPr>
      </w:pPr>
      <w:r>
        <w:rPr>
          <w:rFonts w:hint="eastAsia" w:ascii="宋体" w:hAnsi="宋体" w:cs="宋体"/>
          <w:sz w:val="24"/>
        </w:rPr>
        <w:t>（2）原则上成交价不超过最初报价的95%。</w:t>
      </w:r>
    </w:p>
    <w:p>
      <w:pPr>
        <w:snapToGrid w:val="0"/>
        <w:spacing w:line="360" w:lineRule="auto"/>
        <w:rPr>
          <w:rFonts w:ascii="宋体" w:hAnsi="宋体" w:cs="宋体"/>
          <w:sz w:val="24"/>
        </w:rPr>
      </w:pPr>
      <w:r>
        <w:rPr>
          <w:rFonts w:hint="eastAsia" w:ascii="宋体" w:hAnsi="宋体" w:cs="宋体"/>
          <w:sz w:val="24"/>
        </w:rPr>
        <w:t>14、所有的评审/谈判内容都必须保密。供应商不得将本项目转包给其他人。</w:t>
      </w:r>
    </w:p>
    <w:p>
      <w:pPr>
        <w:snapToGrid w:val="0"/>
        <w:spacing w:line="360" w:lineRule="auto"/>
        <w:rPr>
          <w:rFonts w:ascii="宋体" w:hAnsi="宋体" w:cs="宋体"/>
          <w:sz w:val="24"/>
        </w:rPr>
      </w:pPr>
      <w:r>
        <w:rPr>
          <w:rFonts w:hint="eastAsia" w:ascii="宋体" w:hAnsi="宋体" w:cs="宋体"/>
          <w:sz w:val="24"/>
        </w:rPr>
        <w:t>15、招标代理服务收费：</w:t>
      </w:r>
    </w:p>
    <w:p>
      <w:pPr>
        <w:snapToGrid w:val="0"/>
        <w:spacing w:line="360" w:lineRule="auto"/>
        <w:jc w:val="left"/>
        <w:rPr>
          <w:rFonts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snapToGrid w:val="0"/>
        <w:spacing w:line="360" w:lineRule="auto"/>
        <w:ind w:firstLine="360" w:firstLineChars="150"/>
        <w:rPr>
          <w:rFonts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ascii="宋体" w:hAnsi="宋体" w:cs="宋体"/>
                <w:b/>
                <w:bCs/>
                <w:sz w:val="24"/>
              </w:rPr>
            </w:pPr>
          </w:p>
        </w:tc>
        <w:tc>
          <w:tcPr>
            <w:tcW w:w="1843" w:type="dxa"/>
            <w:shd w:val="clear" w:color="auto" w:fill="D7D7D7"/>
            <w:noWrap w:val="0"/>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货物招标</w:t>
            </w:r>
          </w:p>
        </w:tc>
        <w:tc>
          <w:tcPr>
            <w:tcW w:w="1755" w:type="dxa"/>
            <w:shd w:val="clear" w:color="auto" w:fill="D7D7D7"/>
            <w:noWrap w:val="0"/>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服务招标</w:t>
            </w:r>
          </w:p>
        </w:tc>
        <w:tc>
          <w:tcPr>
            <w:tcW w:w="1897" w:type="dxa"/>
            <w:shd w:val="clear" w:color="auto" w:fill="D7D7D7"/>
            <w:noWrap w:val="0"/>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100万元以下</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1.5%</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100万元（含）-500万元</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1.1%</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0.8%</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500万元（含）-1000万元</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0.8%</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0.45%</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1000万元（含）-5000万元</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0.5%</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0.25%</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5000万元（含）-1亿元</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0.25%</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0.1%</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1亿元（含）-5亿元</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0.05%</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5亿元（含）-10亿元</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0.035%</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10亿元（含）-50亿元</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0.008%</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50亿元（含）-100亿元</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0.006%</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100亿元（含）以上</w:t>
            </w:r>
          </w:p>
        </w:tc>
        <w:tc>
          <w:tcPr>
            <w:tcW w:w="1843" w:type="dxa"/>
            <w:noWrap w:val="0"/>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0.004%</w:t>
            </w:r>
          </w:p>
        </w:tc>
        <w:tc>
          <w:tcPr>
            <w:tcW w:w="1755"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c>
          <w:tcPr>
            <w:tcW w:w="1897" w:type="dxa"/>
            <w:noWrap w:val="0"/>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r>
    </w:tbl>
    <w:p>
      <w:pPr>
        <w:spacing w:line="360" w:lineRule="auto"/>
        <w:rPr>
          <w:rFonts w:ascii="宋体" w:hAnsi="宋体" w:cs="宋体"/>
          <w:b/>
          <w:bCs/>
          <w:sz w:val="24"/>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Pr>
        <w:numPr>
          <w:ilvl w:val="0"/>
          <w:numId w:val="1"/>
        </w:numPr>
        <w:spacing w:line="360" w:lineRule="auto"/>
        <w:jc w:val="center"/>
        <w:outlineLvl w:val="0"/>
        <w:rPr>
          <w:rFonts w:ascii="宋体" w:hAnsi="宋体" w:cs="宋体"/>
          <w:b/>
          <w:bCs/>
          <w:sz w:val="24"/>
        </w:rPr>
      </w:pPr>
      <w:r>
        <w:rPr>
          <w:rFonts w:hint="eastAsia" w:ascii="宋体" w:hAnsi="宋体" w:cs="宋体"/>
          <w:b/>
          <w:bCs/>
          <w:sz w:val="24"/>
        </w:rPr>
        <w:t xml:space="preserve"> </w:t>
      </w:r>
      <w:bookmarkStart w:id="11" w:name="_Toc20176"/>
      <w:r>
        <w:rPr>
          <w:rFonts w:hint="eastAsia" w:ascii="宋体" w:hAnsi="宋体" w:cs="宋体"/>
          <w:b/>
          <w:bCs/>
          <w:sz w:val="24"/>
        </w:rPr>
        <w:t>评标程序</w:t>
      </w:r>
      <w:bookmarkEnd w:id="11"/>
    </w:p>
    <w:p>
      <w:pPr>
        <w:spacing w:line="360" w:lineRule="auto"/>
        <w:ind w:firstLine="480" w:firstLineChars="200"/>
        <w:rPr>
          <w:rFonts w:ascii="宋体" w:hAnsi="宋体" w:cs="宋体"/>
          <w:sz w:val="24"/>
        </w:rPr>
      </w:pPr>
      <w:r>
        <w:rPr>
          <w:rFonts w:hint="eastAsia" w:ascii="宋体" w:hAnsi="宋体" w:cs="宋体"/>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日前一天组成。</w:t>
      </w:r>
    </w:p>
    <w:p>
      <w:pPr>
        <w:spacing w:line="360" w:lineRule="auto"/>
        <w:ind w:firstLine="480" w:firstLineChars="200"/>
        <w:rPr>
          <w:rFonts w:ascii="宋体" w:hAnsi="宋体" w:cs="宋体"/>
          <w:sz w:val="24"/>
        </w:rPr>
      </w:pPr>
      <w:r>
        <w:rPr>
          <w:rFonts w:hint="eastAsia" w:ascii="宋体" w:hAnsi="宋体" w:cs="宋体"/>
          <w:sz w:val="24"/>
        </w:rPr>
        <w:t>二、参加会议人员：投标人代表（如需）、项目负责代表、评审委员会成员、监督部门代表（如需）、采购代理机构代表。</w:t>
      </w:r>
    </w:p>
    <w:p>
      <w:pPr>
        <w:spacing w:line="360" w:lineRule="auto"/>
        <w:ind w:firstLine="480" w:firstLineChars="200"/>
        <w:rPr>
          <w:rFonts w:ascii="宋体" w:hAnsi="宋体" w:cs="宋体"/>
          <w:sz w:val="24"/>
        </w:rPr>
      </w:pPr>
      <w:r>
        <w:rPr>
          <w:rFonts w:hint="eastAsia" w:ascii="宋体" w:hAnsi="宋体" w:cs="宋体"/>
          <w:sz w:val="24"/>
        </w:rPr>
        <w:t>三、会议主持人：深圳国际招标咨询有限公司工作人员 。</w:t>
      </w:r>
    </w:p>
    <w:p>
      <w:pPr>
        <w:spacing w:line="360" w:lineRule="auto"/>
        <w:ind w:firstLine="480" w:firstLineChars="200"/>
        <w:rPr>
          <w:rFonts w:ascii="宋体" w:hAnsi="宋体" w:cs="宋体"/>
          <w:sz w:val="24"/>
        </w:rPr>
      </w:pPr>
      <w:r>
        <w:rPr>
          <w:rFonts w:hint="eastAsia" w:ascii="宋体" w:hAnsi="宋体" w:cs="宋体"/>
          <w:sz w:val="24"/>
        </w:rPr>
        <w:t>四、开标时间：2026年6月</w:t>
      </w:r>
      <w:r>
        <w:rPr>
          <w:rFonts w:hint="eastAsia" w:ascii="宋体" w:hAnsi="宋体" w:cs="宋体"/>
          <w:sz w:val="24"/>
          <w:lang w:val="en-US" w:eastAsia="zh-CN"/>
        </w:rPr>
        <w:t>23</w:t>
      </w:r>
      <w:r>
        <w:rPr>
          <w:rFonts w:hint="eastAsia" w:ascii="宋体" w:hAnsi="宋体" w:cs="宋体"/>
          <w:sz w:val="24"/>
        </w:rPr>
        <w:t>日</w:t>
      </w:r>
      <w:r>
        <w:rPr>
          <w:rFonts w:hint="eastAsia" w:ascii="宋体" w:hAnsi="宋体" w:cs="宋体"/>
          <w:sz w:val="24"/>
          <w:lang w:val="en-US" w:eastAsia="zh-CN"/>
        </w:rPr>
        <w:t>10:00</w:t>
      </w:r>
      <w:r>
        <w:rPr>
          <w:rFonts w:hint="eastAsia" w:ascii="宋体" w:hAnsi="宋体" w:cs="宋体"/>
          <w:sz w:val="24"/>
        </w:rPr>
        <w:t>时（北京时间）。</w:t>
      </w:r>
    </w:p>
    <w:p>
      <w:pPr>
        <w:spacing w:line="360" w:lineRule="auto"/>
        <w:ind w:firstLine="480" w:firstLineChars="200"/>
        <w:rPr>
          <w:rFonts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w:t>
      </w:r>
      <w:r>
        <w:rPr>
          <w:rFonts w:hint="eastAsia" w:ascii="宋体" w:hAnsi="宋体" w:cs="宋体"/>
          <w:b/>
          <w:bCs/>
          <w:sz w:val="24"/>
        </w:rPr>
        <w:t>2026年</w:t>
      </w:r>
      <w:r>
        <w:rPr>
          <w:rFonts w:hint="eastAsia" w:ascii="宋体" w:hAnsi="宋体" w:cs="宋体"/>
          <w:b/>
          <w:bCs/>
          <w:sz w:val="24"/>
          <w:lang w:val="en-US" w:eastAsia="zh-CN"/>
        </w:rPr>
        <w:t>6</w:t>
      </w:r>
      <w:r>
        <w:rPr>
          <w:rFonts w:hint="eastAsia" w:ascii="宋体" w:hAnsi="宋体" w:cs="宋体"/>
          <w:b/>
          <w:bCs/>
          <w:sz w:val="24"/>
        </w:rPr>
        <w:t>月</w:t>
      </w:r>
      <w:r>
        <w:rPr>
          <w:rFonts w:hint="eastAsia" w:ascii="宋体" w:hAnsi="宋体" w:cs="宋体"/>
          <w:b/>
          <w:bCs/>
          <w:sz w:val="24"/>
          <w:lang w:val="en-US" w:eastAsia="zh-CN"/>
        </w:rPr>
        <w:t>23</w:t>
      </w:r>
      <w:r>
        <w:rPr>
          <w:rFonts w:hint="eastAsia" w:ascii="宋体" w:hAnsi="宋体" w:cs="宋体"/>
          <w:b/>
          <w:bCs/>
          <w:sz w:val="24"/>
        </w:rPr>
        <w:t>日10:00时</w:t>
      </w:r>
      <w:r>
        <w:rPr>
          <w:rFonts w:hint="eastAsia" w:ascii="宋体" w:hAnsi="宋体" w:cs="宋体"/>
          <w:sz w:val="24"/>
        </w:rPr>
        <w:t>（北京时间）前送达（现场递交或邮寄至前海大厦T1栋2409室）。截标后不再接收任何投标文件。</w:t>
      </w:r>
    </w:p>
    <w:p>
      <w:pPr>
        <w:spacing w:line="360" w:lineRule="auto"/>
        <w:ind w:firstLine="480" w:firstLineChars="200"/>
        <w:rPr>
          <w:rFonts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ascii="宋体" w:hAnsi="宋体" w:cs="宋体"/>
          <w:sz w:val="24"/>
        </w:rPr>
      </w:pPr>
    </w:p>
    <w:p>
      <w:pPr>
        <w:spacing w:line="360" w:lineRule="auto"/>
        <w:rPr>
          <w:rFonts w:ascii="宋体" w:hAnsi="宋体" w:cs="宋体"/>
          <w:sz w:val="24"/>
        </w:rPr>
      </w:pPr>
    </w:p>
    <w:p>
      <w:pPr>
        <w:pStyle w:val="9"/>
        <w:jc w:val="center"/>
        <w:outlineLvl w:val="0"/>
        <w:rPr>
          <w:rFonts w:hint="eastAsia"/>
          <w:b/>
          <w:bCs/>
        </w:rPr>
        <w:sectPr>
          <w:pgSz w:w="11906" w:h="16838"/>
          <w:pgMar w:top="850" w:right="1803" w:bottom="709" w:left="1803" w:header="851" w:footer="992" w:gutter="0"/>
          <w:pgNumType w:fmt="decimal"/>
          <w:cols w:space="720" w:num="1"/>
          <w:docGrid w:type="lines" w:linePitch="319" w:charSpace="0"/>
        </w:sectPr>
      </w:pPr>
      <w:bookmarkStart w:id="12" w:name="_Toc3567"/>
    </w:p>
    <w:p>
      <w:pPr>
        <w:pStyle w:val="9"/>
        <w:jc w:val="center"/>
        <w:outlineLvl w:val="0"/>
        <w:rPr>
          <w:rFonts w:ascii="宋体" w:hAnsi="宋体" w:cs="宋体"/>
          <w:b/>
          <w:bCs/>
        </w:rPr>
      </w:pPr>
      <w:r>
        <w:rPr>
          <w:rFonts w:hint="eastAsia"/>
          <w:b/>
          <w:bCs/>
        </w:rPr>
        <w:t>第四章</w:t>
      </w:r>
      <w:r>
        <w:rPr>
          <w:rFonts w:hint="eastAsia"/>
        </w:rPr>
        <w:t xml:space="preserve"> </w:t>
      </w:r>
      <w:r>
        <w:rPr>
          <w:rFonts w:hint="eastAsia" w:ascii="宋体" w:hAnsi="宋体" w:cs="宋体"/>
          <w:b/>
          <w:bCs/>
        </w:rPr>
        <w:t>合同格式及合同条款</w:t>
      </w:r>
      <w:bookmarkEnd w:id="12"/>
    </w:p>
    <w:p>
      <w:pPr>
        <w:spacing w:line="360" w:lineRule="auto"/>
        <w:ind w:firstLine="470" w:firstLineChars="196"/>
        <w:jc w:val="center"/>
        <w:rPr>
          <w:rFonts w:ascii="宋体" w:hAnsi="宋体" w:cs="宋体"/>
          <w:sz w:val="24"/>
        </w:rPr>
      </w:pPr>
      <w:bookmarkStart w:id="13" w:name="_Toc73521680"/>
      <w:bookmarkStart w:id="14" w:name="_Toc84303603"/>
      <w:bookmarkStart w:id="15" w:name="_Toc73521592"/>
      <w:bookmarkStart w:id="16" w:name="_Toc100052414"/>
      <w:bookmarkStart w:id="17" w:name="_Toc101074886"/>
      <w:bookmarkStart w:id="18" w:name="_Toc73517685"/>
      <w:bookmarkStart w:id="19" w:name="_Toc73518163"/>
    </w:p>
    <w:bookmarkEnd w:id="13"/>
    <w:bookmarkEnd w:id="14"/>
    <w:bookmarkEnd w:id="15"/>
    <w:bookmarkEnd w:id="16"/>
    <w:bookmarkEnd w:id="17"/>
    <w:bookmarkEnd w:id="18"/>
    <w:bookmarkEnd w:id="19"/>
    <w:p>
      <w:pPr>
        <w:pStyle w:val="37"/>
        <w:spacing w:line="360" w:lineRule="auto"/>
        <w:ind w:left="1470" w:right="1470" w:firstLine="482"/>
        <w:jc w:val="center"/>
        <w:rPr>
          <w:rFonts w:ascii="宋体" w:hAnsi="宋体" w:cs="宋体"/>
          <w:b/>
          <w:sz w:val="24"/>
          <w:szCs w:val="24"/>
        </w:rPr>
      </w:pPr>
      <w:r>
        <w:rPr>
          <w:rFonts w:hint="eastAsia" w:ascii="宋体" w:hAnsi="宋体" w:cs="宋体"/>
          <w:b/>
          <w:sz w:val="24"/>
          <w:szCs w:val="24"/>
        </w:rPr>
        <w:t xml:space="preserve">                        合同编号（甲方）：            </w:t>
      </w:r>
    </w:p>
    <w:p>
      <w:pPr>
        <w:pStyle w:val="37"/>
        <w:spacing w:line="360" w:lineRule="auto"/>
        <w:ind w:left="1470" w:right="1470" w:firstLine="482"/>
        <w:jc w:val="center"/>
        <w:rPr>
          <w:rFonts w:ascii="宋体" w:hAnsi="宋体" w:cs="宋体"/>
          <w:b/>
          <w:sz w:val="24"/>
          <w:szCs w:val="24"/>
        </w:rPr>
      </w:pPr>
      <w:r>
        <w:rPr>
          <w:rFonts w:hint="eastAsia" w:ascii="宋体" w:hAnsi="宋体" w:cs="宋体"/>
          <w:b/>
          <w:sz w:val="24"/>
          <w:szCs w:val="24"/>
        </w:rPr>
        <w:t xml:space="preserve">                        合同编号（乙方）：            </w:t>
      </w:r>
    </w:p>
    <w:p>
      <w:pPr>
        <w:pStyle w:val="37"/>
        <w:spacing w:line="360" w:lineRule="auto"/>
        <w:ind w:right="1470" w:firstLine="0" w:firstLineChars="0"/>
        <w:rPr>
          <w:rFonts w:ascii="宋体" w:hAnsi="宋体" w:cs="宋体"/>
          <w:b/>
          <w:color w:val="000000"/>
          <w:sz w:val="24"/>
          <w:szCs w:val="24"/>
        </w:rPr>
      </w:pPr>
      <w:r>
        <w:rPr>
          <w:rFonts w:hint="eastAsia" w:ascii="宋体" w:hAnsi="宋体" w:cs="宋体"/>
          <w:b/>
          <w:color w:val="000000"/>
          <w:sz w:val="24"/>
          <w:szCs w:val="24"/>
        </w:rPr>
        <w:t xml:space="preserve">          </w:t>
      </w:r>
    </w:p>
    <w:p>
      <w:pPr>
        <w:pStyle w:val="37"/>
        <w:spacing w:line="360" w:lineRule="auto"/>
        <w:ind w:left="1470" w:right="1470" w:firstLine="482"/>
        <w:rPr>
          <w:rFonts w:ascii="宋体" w:hAnsi="宋体" w:cs="宋体"/>
          <w:b/>
          <w:color w:val="000000"/>
          <w:sz w:val="24"/>
          <w:szCs w:val="24"/>
        </w:rPr>
      </w:pPr>
    </w:p>
    <w:p>
      <w:pPr>
        <w:pStyle w:val="37"/>
        <w:spacing w:line="360" w:lineRule="auto"/>
        <w:ind w:left="1470" w:right="1470" w:firstLine="482"/>
        <w:rPr>
          <w:rFonts w:ascii="宋体" w:hAnsi="宋体" w:cs="宋体"/>
          <w:b/>
          <w:color w:val="000000"/>
          <w:sz w:val="24"/>
          <w:szCs w:val="24"/>
        </w:rPr>
      </w:pPr>
      <w:r>
        <w:rPr>
          <w:rFonts w:hint="eastAsia" w:ascii="宋体" w:hAnsi="宋体" w:cs="宋体"/>
          <w:b/>
          <w:color w:val="000000"/>
          <w:sz w:val="24"/>
          <w:szCs w:val="24"/>
        </w:rPr>
        <w:t xml:space="preserve"> </w:t>
      </w:r>
    </w:p>
    <w:p>
      <w:pPr>
        <w:pStyle w:val="37"/>
        <w:spacing w:line="360" w:lineRule="auto"/>
        <w:ind w:left="1470" w:right="1470" w:firstLine="482"/>
        <w:rPr>
          <w:rFonts w:ascii="宋体" w:hAnsi="宋体" w:cs="宋体"/>
          <w:b/>
          <w:color w:val="000000"/>
          <w:sz w:val="24"/>
          <w:szCs w:val="24"/>
        </w:rPr>
      </w:pPr>
      <w:r>
        <w:rPr>
          <w:rFonts w:hint="eastAsia" w:ascii="宋体" w:hAnsi="宋体" w:cs="宋体"/>
          <w:b/>
          <w:color w:val="000000"/>
          <w:sz w:val="24"/>
          <w:szCs w:val="24"/>
        </w:rPr>
        <w:t xml:space="preserve"> </w:t>
      </w: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前海发展观测观察评价模型咨询项目</w:t>
      </w: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委托合同</w:t>
      </w:r>
    </w:p>
    <w:p>
      <w:pPr>
        <w:spacing w:line="360" w:lineRule="auto"/>
        <w:rPr>
          <w:rFonts w:ascii="宋体" w:hAnsi="宋体" w:cs="宋体"/>
          <w:color w:val="000000"/>
          <w:sz w:val="24"/>
        </w:rPr>
      </w:pPr>
      <w:r>
        <w:rPr>
          <w:rFonts w:hint="eastAsia" w:ascii="宋体" w:hAnsi="宋体" w:cs="宋体"/>
          <w:color w:val="000000"/>
          <w:sz w:val="24"/>
        </w:rPr>
        <w:t xml:space="preserve"> </w:t>
      </w:r>
    </w:p>
    <w:p>
      <w:pPr>
        <w:pStyle w:val="37"/>
        <w:spacing w:line="360" w:lineRule="auto"/>
        <w:ind w:left="1470" w:right="1470" w:firstLine="480"/>
        <w:rPr>
          <w:rFonts w:ascii="宋体" w:hAnsi="宋体" w:cs="宋体"/>
          <w:color w:val="000000"/>
          <w:sz w:val="24"/>
          <w:szCs w:val="24"/>
        </w:rPr>
      </w:pPr>
      <w:r>
        <w:rPr>
          <w:rFonts w:hint="eastAsia" w:ascii="宋体" w:hAnsi="宋体" w:cs="宋体"/>
          <w:color w:val="000000"/>
          <w:sz w:val="24"/>
          <w:szCs w:val="24"/>
        </w:rPr>
        <w:t xml:space="preserve"> </w:t>
      </w:r>
    </w:p>
    <w:p>
      <w:pPr>
        <w:pStyle w:val="37"/>
        <w:spacing w:line="360" w:lineRule="auto"/>
        <w:ind w:left="1470" w:right="1470" w:firstLine="480"/>
        <w:rPr>
          <w:rFonts w:ascii="宋体" w:hAnsi="宋体" w:cs="宋体"/>
          <w:color w:val="000000"/>
          <w:sz w:val="24"/>
          <w:szCs w:val="24"/>
        </w:rPr>
      </w:pPr>
      <w:r>
        <w:rPr>
          <w:rFonts w:hint="eastAsia" w:ascii="宋体" w:hAnsi="宋体" w:cs="宋体"/>
          <w:color w:val="000000"/>
          <w:sz w:val="24"/>
          <w:szCs w:val="24"/>
        </w:rPr>
        <w:t xml:space="preserve"> </w:t>
      </w:r>
    </w:p>
    <w:p>
      <w:pPr>
        <w:spacing w:line="360" w:lineRule="auto"/>
        <w:jc w:val="center"/>
        <w:rPr>
          <w:rFonts w:ascii="宋体" w:hAnsi="宋体" w:cs="宋体"/>
          <w:b/>
          <w:color w:val="000000"/>
          <w:sz w:val="24"/>
        </w:rPr>
      </w:pPr>
      <w:r>
        <w:rPr>
          <w:rFonts w:hint="eastAsia" w:ascii="宋体" w:hAnsi="宋体" w:cs="宋体"/>
          <w:b/>
          <w:color w:val="000000"/>
          <w:sz w:val="24"/>
        </w:rPr>
        <w:t xml:space="preserve">  </w:t>
      </w:r>
    </w:p>
    <w:p>
      <w:pPr>
        <w:spacing w:line="360" w:lineRule="auto"/>
        <w:ind w:firstLine="720" w:firstLineChars="300"/>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：前海发展观测观察评价模型咨询项目</w:t>
      </w:r>
    </w:p>
    <w:p>
      <w:pPr>
        <w:spacing w:line="360" w:lineRule="auto"/>
        <w:ind w:firstLine="720" w:firstLineChars="300"/>
        <w:rPr>
          <w:rFonts w:ascii="宋体" w:hAnsi="宋体" w:cs="宋体"/>
          <w:color w:val="000000"/>
          <w:sz w:val="24"/>
          <w:u w:val="single"/>
        </w:rPr>
      </w:pPr>
      <w:r>
        <w:rPr>
          <w:rFonts w:hint="eastAsia" w:ascii="宋体" w:hAnsi="宋体" w:cs="宋体"/>
          <w:color w:val="000000"/>
          <w:sz w:val="24"/>
        </w:rPr>
        <w:t>项目类型：</w:t>
      </w:r>
      <w:r>
        <w:rPr>
          <w:rFonts w:hint="eastAsia" w:ascii="宋体" w:hAnsi="宋体" w:cs="宋体"/>
          <w:color w:val="000000"/>
          <w:sz w:val="24"/>
          <w:u w:val="single"/>
        </w:rPr>
        <w:t xml:space="preserve">           服务类       </w:t>
      </w:r>
      <w:r>
        <w:rPr>
          <w:rFonts w:ascii="宋体" w:hAnsi="宋体" w:cs="宋体"/>
          <w:color w:val="000000"/>
          <w:sz w:val="24"/>
          <w:u w:val="single"/>
        </w:rPr>
        <w:t xml:space="preserve">     </w:t>
      </w:r>
    </w:p>
    <w:p>
      <w:pPr>
        <w:spacing w:line="360" w:lineRule="auto"/>
        <w:ind w:firstLine="720" w:firstLineChars="300"/>
        <w:rPr>
          <w:rFonts w:ascii="宋体" w:hAnsi="宋体" w:cs="宋体"/>
          <w:color w:val="000000"/>
          <w:sz w:val="24"/>
          <w:u w:val="single"/>
        </w:rPr>
      </w:pPr>
      <w:r>
        <w:rPr>
          <w:rFonts w:hint="eastAsia" w:ascii="宋体" w:hAnsi="宋体" w:cs="宋体"/>
          <w:color w:val="000000"/>
          <w:sz w:val="24"/>
        </w:rPr>
        <w:t>委托方（甲方）：</w:t>
      </w:r>
      <w:r>
        <w:rPr>
          <w:rFonts w:hint="eastAsia" w:ascii="宋体" w:hAnsi="宋体" w:cs="宋体"/>
          <w:color w:val="000000"/>
          <w:sz w:val="24"/>
          <w:u w:val="single"/>
        </w:rPr>
        <w:t xml:space="preserve">  深圳市前海深港现代服务业合作区管理局  </w:t>
      </w:r>
    </w:p>
    <w:p>
      <w:pPr>
        <w:spacing w:line="360" w:lineRule="auto"/>
        <w:ind w:firstLine="720" w:firstLineChars="300"/>
        <w:rPr>
          <w:rFonts w:ascii="宋体" w:hAnsi="宋体" w:cs="宋体"/>
          <w:color w:val="000000"/>
          <w:sz w:val="24"/>
          <w:u w:val="single"/>
        </w:rPr>
      </w:pPr>
      <w:r>
        <w:rPr>
          <w:rFonts w:hint="eastAsia" w:ascii="宋体" w:hAnsi="宋体" w:cs="宋体"/>
          <w:color w:val="000000"/>
          <w:sz w:val="24"/>
        </w:rPr>
        <w:t>承接方（乙方）：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spacing w:line="360" w:lineRule="auto"/>
        <w:jc w:val="center"/>
        <w:rPr>
          <w:rFonts w:ascii="宋体" w:hAnsi="宋体" w:cs="宋体"/>
          <w:b/>
          <w:color w:val="000000"/>
          <w:sz w:val="24"/>
        </w:rPr>
      </w:pPr>
      <w:r>
        <w:rPr>
          <w:rFonts w:hint="eastAsia" w:ascii="宋体" w:hAnsi="宋体" w:cs="宋体"/>
          <w:b/>
          <w:color w:val="000000"/>
          <w:sz w:val="24"/>
        </w:rPr>
        <w:t xml:space="preserve"> </w:t>
      </w: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r>
        <w:rPr>
          <w:rFonts w:hint="eastAsia" w:ascii="宋体" w:hAnsi="宋体" w:cs="宋体"/>
          <w:color w:val="000000"/>
          <w:sz w:val="24"/>
        </w:rPr>
        <w:t>二〇二六年六月</w:t>
      </w:r>
    </w:p>
    <w:p>
      <w:pPr>
        <w:spacing w:line="360" w:lineRule="auto"/>
        <w:jc w:val="center"/>
        <w:rPr>
          <w:rFonts w:ascii="宋体" w:hAnsi="宋体" w:cs="宋体"/>
          <w:color w:val="000000"/>
          <w:sz w:val="24"/>
        </w:rPr>
      </w:pPr>
      <w:r>
        <w:rPr>
          <w:rFonts w:hint="eastAsia" w:ascii="宋体" w:hAnsi="宋体" w:cs="宋体"/>
          <w:color w:val="000000"/>
          <w:sz w:val="24"/>
        </w:rPr>
        <w:t>本合同共    页（不含封面）</w:t>
      </w:r>
    </w:p>
    <w:p>
      <w:pPr>
        <w:spacing w:line="360" w:lineRule="auto"/>
        <w:rPr>
          <w:rFonts w:ascii="宋体" w:hAnsi="宋体" w:cs="宋体"/>
          <w:b/>
          <w:bCs/>
          <w:color w:val="000000"/>
          <w:sz w:val="24"/>
        </w:rPr>
      </w:pPr>
      <w:r>
        <w:rPr>
          <w:rFonts w:hint="eastAsia" w:ascii="宋体" w:hAnsi="宋体" w:cs="宋体"/>
          <w:b/>
          <w:bCs/>
          <w:color w:val="000000"/>
          <w:sz w:val="24"/>
        </w:rPr>
        <w:br w:type="page"/>
      </w:r>
      <w:bookmarkStart w:id="20" w:name="OLE_LINK17"/>
      <w:r>
        <w:rPr>
          <w:rFonts w:hint="eastAsia" w:ascii="宋体" w:hAnsi="宋体" w:cs="宋体"/>
          <w:b/>
          <w:bCs/>
          <w:color w:val="000000"/>
          <w:sz w:val="24"/>
        </w:rPr>
        <w:t xml:space="preserve">甲方： </w:t>
      </w:r>
      <w:bookmarkStart w:id="21" w:name="OLE_LINK104"/>
      <w:r>
        <w:rPr>
          <w:rFonts w:hint="eastAsia" w:ascii="宋体" w:hAnsi="宋体" w:cs="宋体"/>
          <w:color w:val="000000"/>
          <w:sz w:val="24"/>
          <w:u w:val="single"/>
        </w:rPr>
        <w:t>深圳市前海深港现代服务业合作区管理局</w:t>
      </w:r>
      <w:bookmarkEnd w:id="21"/>
    </w:p>
    <w:p>
      <w:pPr>
        <w:spacing w:line="360" w:lineRule="auto"/>
        <w:rPr>
          <w:rFonts w:ascii="宋体" w:hAnsi="宋体" w:cs="宋体"/>
          <w:b/>
          <w:bCs/>
          <w:color w:val="000000"/>
          <w:sz w:val="24"/>
        </w:rPr>
      </w:pPr>
      <w:r>
        <w:rPr>
          <w:rFonts w:hint="eastAsia" w:ascii="宋体" w:hAnsi="宋体" w:cs="宋体"/>
          <w:b/>
          <w:bCs/>
          <w:color w:val="000000"/>
          <w:sz w:val="24"/>
        </w:rPr>
        <w:t xml:space="preserve">地址： </w:t>
      </w:r>
      <w:r>
        <w:rPr>
          <w:rFonts w:hint="eastAsia" w:ascii="宋体" w:hAnsi="宋体" w:cs="宋体"/>
          <w:color w:val="000000"/>
          <w:sz w:val="24"/>
          <w:u w:val="single"/>
        </w:rPr>
        <w:t>深圳市前海深港合作区</w:t>
      </w:r>
      <w:r>
        <w:rPr>
          <w:rFonts w:ascii="宋体" w:hAnsi="宋体" w:cs="宋体"/>
          <w:color w:val="000000"/>
          <w:sz w:val="24"/>
          <w:u w:val="single"/>
        </w:rPr>
        <w:t>桂湾五路123号前海大厦T1栋前海管理局</w:t>
      </w:r>
    </w:p>
    <w:p>
      <w:pPr>
        <w:spacing w:line="360" w:lineRule="auto"/>
        <w:rPr>
          <w:rFonts w:ascii="宋体" w:hAnsi="宋体" w:cs="宋体"/>
          <w:b/>
          <w:bCs/>
          <w:color w:val="000000"/>
          <w:sz w:val="24"/>
        </w:rPr>
      </w:pPr>
      <w:r>
        <w:rPr>
          <w:rFonts w:hint="eastAsia" w:ascii="宋体" w:hAnsi="宋体" w:cs="宋体"/>
          <w:b/>
          <w:bCs/>
          <w:color w:val="000000"/>
          <w:sz w:val="24"/>
        </w:rPr>
        <w:t xml:space="preserve">法定代表人： </w:t>
      </w:r>
      <w:r>
        <w:rPr>
          <w:rFonts w:hint="eastAsia" w:ascii="宋体" w:hAnsi="宋体" w:cs="宋体"/>
          <w:color w:val="000000"/>
          <w:sz w:val="24"/>
          <w:u w:val="single"/>
        </w:rPr>
        <w:t xml:space="preserve">         </w:t>
      </w:r>
    </w:p>
    <w:p>
      <w:pPr>
        <w:spacing w:line="360" w:lineRule="auto"/>
        <w:rPr>
          <w:rFonts w:ascii="宋体" w:hAnsi="宋体" w:cs="宋体"/>
          <w:b/>
          <w:bCs/>
          <w:color w:val="000000"/>
          <w:sz w:val="24"/>
        </w:rPr>
      </w:pPr>
      <w:r>
        <w:rPr>
          <w:rFonts w:hint="eastAsia" w:ascii="宋体" w:hAnsi="宋体" w:cs="宋体"/>
          <w:b/>
          <w:bCs/>
          <w:color w:val="000000"/>
          <w:sz w:val="24"/>
        </w:rPr>
        <w:t xml:space="preserve"> </w:t>
      </w:r>
    </w:p>
    <w:p>
      <w:pPr>
        <w:spacing w:line="360" w:lineRule="auto"/>
        <w:rPr>
          <w:rFonts w:ascii="宋体" w:hAnsi="宋体" w:cs="宋体"/>
          <w:color w:val="000000"/>
          <w:sz w:val="24"/>
          <w:u w:val="single"/>
        </w:rPr>
      </w:pPr>
      <w:r>
        <w:rPr>
          <w:rFonts w:hint="eastAsia" w:ascii="宋体" w:hAnsi="宋体" w:cs="宋体"/>
          <w:b/>
          <w:bCs/>
          <w:color w:val="000000"/>
          <w:sz w:val="24"/>
        </w:rPr>
        <w:t xml:space="preserve">乙方： </w:t>
      </w:r>
      <w:r>
        <w:rPr>
          <w:rFonts w:hint="eastAsia" w:ascii="宋体" w:hAnsi="宋体" w:cs="宋体"/>
          <w:color w:val="000000"/>
          <w:sz w:val="24"/>
          <w:u w:val="single"/>
        </w:rPr>
        <w:t xml:space="preserve"> </w:t>
      </w:r>
      <w:r>
        <w:rPr>
          <w:rFonts w:ascii="宋体" w:hAnsi="宋体" w:cs="宋体"/>
          <w:color w:val="000000"/>
          <w:sz w:val="24"/>
          <w:u w:val="single"/>
        </w:rPr>
        <w:t xml:space="preserve">                                   </w:t>
      </w:r>
    </w:p>
    <w:p>
      <w:pPr>
        <w:spacing w:line="360" w:lineRule="auto"/>
        <w:rPr>
          <w:rFonts w:ascii="宋体" w:hAnsi="宋体" w:cs="宋体"/>
          <w:color w:val="000000"/>
          <w:sz w:val="24"/>
          <w:u w:val="single"/>
        </w:rPr>
      </w:pPr>
      <w:r>
        <w:rPr>
          <w:rFonts w:hint="eastAsia" w:ascii="宋体" w:hAnsi="宋体" w:cs="宋体"/>
          <w:b/>
          <w:bCs/>
          <w:color w:val="000000"/>
          <w:sz w:val="24"/>
        </w:rPr>
        <w:t xml:space="preserve">地址： </w:t>
      </w:r>
      <w:r>
        <w:rPr>
          <w:rFonts w:hint="eastAsia" w:ascii="宋体" w:hAnsi="宋体" w:cs="宋体"/>
          <w:color w:val="000000"/>
          <w:sz w:val="24"/>
          <w:u w:val="single"/>
        </w:rPr>
        <w:t xml:space="preserve">  </w:t>
      </w:r>
      <w:r>
        <w:rPr>
          <w:rFonts w:ascii="宋体" w:hAnsi="宋体" w:cs="宋体"/>
          <w:color w:val="000000"/>
          <w:sz w:val="24"/>
          <w:u w:val="single"/>
        </w:rPr>
        <w:t xml:space="preserve">                                  </w:t>
      </w:r>
    </w:p>
    <w:p>
      <w:pPr>
        <w:spacing w:line="360" w:lineRule="auto"/>
        <w:rPr>
          <w:rFonts w:ascii="宋体" w:hAnsi="宋体" w:cs="宋体"/>
          <w:b/>
          <w:bCs/>
          <w:color w:val="000000"/>
          <w:sz w:val="24"/>
        </w:rPr>
      </w:pPr>
      <w:r>
        <w:rPr>
          <w:rFonts w:hint="eastAsia" w:ascii="宋体" w:hAnsi="宋体" w:cs="宋体"/>
          <w:b/>
          <w:bCs/>
          <w:color w:val="000000"/>
          <w:sz w:val="24"/>
        </w:rPr>
        <w:t>法定代表人：</w:t>
      </w:r>
      <w:r>
        <w:rPr>
          <w:rFonts w:ascii="宋体" w:hAnsi="宋体" w:cs="宋体"/>
          <w:color w:val="000000"/>
          <w:sz w:val="24"/>
          <w:u w:val="single"/>
        </w:rPr>
        <w:t xml:space="preserve">           </w:t>
      </w:r>
    </w:p>
    <w:p>
      <w:pPr>
        <w:spacing w:line="360" w:lineRule="auto"/>
        <w:rPr>
          <w:rFonts w:ascii="宋体" w:hAnsi="宋体" w:cs="宋体"/>
          <w:b/>
          <w:bCs/>
          <w:color w:val="000000"/>
          <w:sz w:val="24"/>
        </w:rPr>
      </w:pPr>
      <w:r>
        <w:rPr>
          <w:rFonts w:hint="eastAsia" w:ascii="宋体" w:hAnsi="宋体" w:cs="宋体"/>
          <w:b/>
          <w:bCs/>
          <w:color w:val="000000"/>
          <w:sz w:val="24"/>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以下甲方和乙方合称“双方”。</w:t>
      </w:r>
    </w:p>
    <w:p>
      <w:pPr>
        <w:spacing w:line="360" w:lineRule="auto"/>
        <w:ind w:firstLine="480" w:firstLineChars="200"/>
        <w:rPr>
          <w:rFonts w:ascii="宋体" w:hAnsi="宋体" w:cs="宋体"/>
          <w:color w:val="000000"/>
          <w:sz w:val="24"/>
        </w:rPr>
      </w:pPr>
      <w:r>
        <w:rPr>
          <w:rFonts w:hint="eastAsia" w:ascii="宋体" w:hAnsi="宋体" w:cs="宋体"/>
          <w:color w:val="000000"/>
          <w:sz w:val="24"/>
        </w:rPr>
        <w:t>根据《中华人民共和国民法典》等法律、法规的相关规定和编号为【  】招标项目的中标结果，由【</w:t>
      </w:r>
      <w:r>
        <w:rPr>
          <w:rFonts w:ascii="宋体" w:hAnsi="宋体" w:cs="宋体"/>
          <w:color w:val="000000"/>
          <w:sz w:val="24"/>
          <w:u w:val="single"/>
        </w:rPr>
        <w:t xml:space="preserve">     </w:t>
      </w:r>
      <w:r>
        <w:rPr>
          <w:rFonts w:hint="eastAsia" w:ascii="宋体" w:hAnsi="宋体" w:cs="宋体"/>
          <w:color w:val="000000"/>
          <w:sz w:val="24"/>
        </w:rPr>
        <w:t>】单位（以下简称乙方）为中标人。按照《中华人民共和国民法典》和《深圳经济特区政府采购条例》，经甲乙双方协商，就甲方委托</w:t>
      </w:r>
      <w:r>
        <w:rPr>
          <w:rFonts w:hint="eastAsia" w:ascii="宋体" w:hAnsi="宋体" w:cs="宋体"/>
          <w:b/>
          <w:bCs/>
          <w:color w:val="000000"/>
          <w:sz w:val="24"/>
          <w:u w:val="single"/>
        </w:rPr>
        <w:t>乙方开展</w:t>
      </w:r>
      <w:r>
        <w:rPr>
          <w:rFonts w:hint="eastAsia" w:ascii="宋体" w:hAnsi="宋体" w:cs="宋体"/>
          <w:color w:val="000000"/>
          <w:sz w:val="24"/>
          <w:u w:val="single"/>
        </w:rPr>
        <w:t>“前海发展观测观察评价模型咨询项目”</w:t>
      </w:r>
      <w:r>
        <w:rPr>
          <w:rFonts w:hint="eastAsia" w:ascii="宋体" w:hAnsi="宋体" w:cs="宋体"/>
          <w:b/>
          <w:bCs/>
          <w:color w:val="000000"/>
          <w:kern w:val="0"/>
          <w:sz w:val="24"/>
          <w:u w:val="single"/>
        </w:rPr>
        <w:t>（以下简称本项目）</w:t>
      </w:r>
      <w:r>
        <w:rPr>
          <w:rFonts w:hint="eastAsia" w:ascii="宋体" w:hAnsi="宋体" w:cs="宋体"/>
          <w:color w:val="000000"/>
          <w:sz w:val="24"/>
        </w:rPr>
        <w:t>，达成以下合同条款：</w:t>
      </w:r>
    </w:p>
    <w:p>
      <w:pPr>
        <w:numPr>
          <w:ilvl w:val="0"/>
          <w:numId w:val="5"/>
        </w:numPr>
        <w:spacing w:line="360" w:lineRule="auto"/>
        <w:ind w:left="11" w:firstLine="420"/>
        <w:rPr>
          <w:rFonts w:ascii="宋体" w:hAnsi="宋体" w:cs="宋体"/>
          <w:b/>
          <w:bCs/>
          <w:color w:val="000000"/>
          <w:sz w:val="24"/>
        </w:rPr>
      </w:pPr>
      <w:r>
        <w:rPr>
          <w:rFonts w:hint="eastAsia" w:ascii="宋体" w:hAnsi="宋体" w:cs="宋体"/>
          <w:b/>
          <w:bCs/>
          <w:color w:val="000000"/>
          <w:sz w:val="24"/>
        </w:rPr>
        <w:t>项目管理及进度要求</w:t>
      </w:r>
    </w:p>
    <w:p>
      <w:pPr>
        <w:spacing w:line="360" w:lineRule="auto"/>
        <w:ind w:firstLine="482" w:firstLineChars="200"/>
        <w:rPr>
          <w:rFonts w:hint="eastAsia" w:ascii="宋体" w:hAnsi="宋体" w:cs="宋体"/>
          <w:b/>
          <w:bCs/>
          <w:color w:val="000000"/>
          <w:sz w:val="24"/>
        </w:rPr>
      </w:pPr>
      <w:bookmarkStart w:id="22" w:name="_Toc23975"/>
      <w:r>
        <w:rPr>
          <w:rFonts w:ascii="宋体" w:hAnsi="宋体" w:cs="宋体"/>
          <w:b/>
          <w:bCs/>
          <w:color w:val="000000"/>
          <w:sz w:val="24"/>
        </w:rPr>
        <w:t>1.</w:t>
      </w:r>
      <w:r>
        <w:rPr>
          <w:rFonts w:hint="eastAsia" w:ascii="宋体" w:hAnsi="宋体" w:cs="宋体"/>
          <w:b/>
          <w:bCs/>
          <w:color w:val="000000"/>
          <w:sz w:val="24"/>
        </w:rPr>
        <w:t>前期准备阶段（1个月）</w:t>
      </w:r>
    </w:p>
    <w:p>
      <w:pPr>
        <w:spacing w:line="360" w:lineRule="auto"/>
        <w:ind w:firstLine="480" w:firstLineChars="200"/>
        <w:rPr>
          <w:rFonts w:hint="eastAsia" w:ascii="宋体" w:hAnsi="宋体" w:cs="宋体"/>
          <w:b/>
          <w:bCs/>
          <w:color w:val="000000"/>
          <w:sz w:val="24"/>
        </w:rPr>
      </w:pPr>
      <w:r>
        <w:rPr>
          <w:rFonts w:hint="eastAsia" w:ascii="宋体" w:hAnsi="宋体" w:cs="宋体"/>
          <w:color w:val="000000"/>
          <w:sz w:val="24"/>
        </w:rPr>
        <w:t>系统收集、全面梳理前海当前统计标准现状，对比国内外先进地区观测体系；紧扣《前海规划》四大定位，开展指标体系初设与模型逻辑推演。</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w:t>
      </w:r>
      <w:r>
        <w:rPr>
          <w:rFonts w:ascii="宋体" w:hAnsi="宋体" w:cs="宋体"/>
          <w:b/>
          <w:bCs/>
          <w:color w:val="000000"/>
          <w:sz w:val="24"/>
        </w:rPr>
        <w:t>.</w:t>
      </w:r>
      <w:r>
        <w:rPr>
          <w:rFonts w:hint="eastAsia" w:ascii="宋体" w:hAnsi="宋体" w:cs="宋体"/>
          <w:b/>
          <w:bCs/>
          <w:color w:val="000000"/>
          <w:sz w:val="24"/>
        </w:rPr>
        <w:t>模型构建和研究报告撰写阶段（4个月）</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一是建立前海发展观测观察评价研究模型。围绕改革、开放、深港融合发展、现代服务业发展四个主要维度，形成科学完备的监测观察指标体系。</w:t>
      </w:r>
    </w:p>
    <w:p>
      <w:pPr>
        <w:spacing w:line="360" w:lineRule="auto"/>
        <w:ind w:firstLine="480" w:firstLineChars="200"/>
        <w:rPr>
          <w:rFonts w:hint="eastAsia" w:ascii="宋体" w:hAnsi="宋体" w:cs="宋体"/>
          <w:b/>
          <w:bCs/>
          <w:color w:val="000000"/>
          <w:sz w:val="24"/>
        </w:rPr>
      </w:pPr>
      <w:r>
        <w:rPr>
          <w:rFonts w:hint="eastAsia" w:ascii="宋体" w:hAnsi="宋体" w:cs="宋体"/>
          <w:color w:val="000000"/>
          <w:sz w:val="24"/>
        </w:rPr>
        <w:t>二是根据评估结果，形成前海发展观测观察评价</w:t>
      </w:r>
      <w:r>
        <w:rPr>
          <w:rFonts w:hint="eastAsia" w:ascii="宋体" w:hAnsi="宋体" w:cs="宋体"/>
          <w:color w:val="000000"/>
          <w:sz w:val="24"/>
          <w:lang w:eastAsia="zh-CN"/>
        </w:rPr>
        <w:t>研究</w:t>
      </w:r>
      <w:r>
        <w:rPr>
          <w:rFonts w:hint="eastAsia" w:ascii="宋体" w:hAnsi="宋体" w:cs="宋体"/>
          <w:color w:val="000000"/>
          <w:sz w:val="24"/>
        </w:rPr>
        <w:t>报告</w:t>
      </w:r>
      <w:r>
        <w:rPr>
          <w:rFonts w:hint="eastAsia" w:ascii="宋体" w:hAnsi="宋体" w:cs="宋体"/>
          <w:color w:val="000000"/>
          <w:sz w:val="24"/>
          <w:lang w:eastAsia="zh-CN"/>
        </w:rPr>
        <w:t>（包含改革、开放、深港融合发展、现代服务业发展四个板块）</w:t>
      </w:r>
      <w:r>
        <w:rPr>
          <w:rFonts w:hint="eastAsia" w:ascii="宋体" w:hAnsi="宋体" w:cs="宋体"/>
          <w:color w:val="000000"/>
          <w:sz w:val="24"/>
        </w:rPr>
        <w:t>。对标全球通行标准和国内同类型战略平台，分析前海各项监测观察指标情况，找准各领域在全球全国的位置，发现问题并提出建议，形成观测报告。</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3.报告完善及验收评审阶段（1个月）</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按要求对项目成果进行内容查重，重复率不得超过20%，形成项目报告。组织外部专家进行评审，结合评审意见进行修改完善，优化研究报告及政策建议，并将最终成果提交主办部门进行验收。</w:t>
      </w:r>
    </w:p>
    <w:p>
      <w:pPr>
        <w:numPr>
          <w:ilvl w:val="0"/>
          <w:numId w:val="5"/>
        </w:numPr>
        <w:spacing w:line="360" w:lineRule="auto"/>
        <w:ind w:left="11" w:firstLine="420"/>
        <w:rPr>
          <w:rFonts w:ascii="宋体" w:hAnsi="宋体" w:cs="宋体"/>
          <w:b/>
          <w:bCs/>
          <w:color w:val="000000"/>
          <w:sz w:val="24"/>
        </w:rPr>
      </w:pPr>
      <w:r>
        <w:rPr>
          <w:rFonts w:hint="eastAsia" w:ascii="宋体" w:hAnsi="宋体" w:cs="宋体"/>
          <w:b/>
          <w:bCs/>
          <w:color w:val="000000"/>
          <w:sz w:val="24"/>
        </w:rPr>
        <w:t>合同含税总价</w:t>
      </w:r>
      <w:bookmarkEnd w:id="22"/>
    </w:p>
    <w:p>
      <w:pPr>
        <w:adjustRightInd w:val="0"/>
        <w:spacing w:line="360" w:lineRule="auto"/>
        <w:ind w:left="11" w:firstLine="480" w:firstLineChars="200"/>
        <w:rPr>
          <w:rFonts w:ascii="宋体" w:hAnsi="宋体" w:cs="宋体"/>
          <w:color w:val="000000"/>
          <w:sz w:val="24"/>
        </w:rPr>
      </w:pPr>
      <w:r>
        <w:rPr>
          <w:rFonts w:hint="eastAsia" w:ascii="宋体" w:hAnsi="宋体" w:cs="宋体"/>
          <w:color w:val="000000"/>
          <w:sz w:val="24"/>
        </w:rPr>
        <w:t>本项目合同含税总价为（大写）：____元（￥_____元）人民币，总价包干。</w:t>
      </w:r>
    </w:p>
    <w:p>
      <w:pPr>
        <w:adjustRightInd w:val="0"/>
        <w:spacing w:line="360" w:lineRule="auto"/>
        <w:ind w:left="11" w:firstLine="480" w:firstLineChars="200"/>
        <w:rPr>
          <w:rFonts w:ascii="宋体" w:hAnsi="宋体" w:cs="宋体"/>
          <w:color w:val="000000"/>
          <w:sz w:val="24"/>
        </w:rPr>
      </w:pPr>
      <w:r>
        <w:rPr>
          <w:rFonts w:hint="eastAsia" w:ascii="宋体" w:hAnsi="宋体" w:cs="宋体"/>
          <w:color w:val="000000"/>
          <w:sz w:val="24"/>
        </w:rPr>
        <w:t>合同金额应包括本项目人工、物料及交通等费用、法定税费和企业的利润等为完成本项目服务所发生的全部相关费用。服务费包含</w:t>
      </w:r>
      <w:r>
        <w:rPr>
          <w:rFonts w:hint="eastAsia" w:ascii="宋体" w:hAnsi="宋体" w:cs="宋体"/>
          <w:color w:val="000000"/>
          <w:sz w:val="24"/>
          <w:lang w:eastAsia="zh-Hans"/>
        </w:rPr>
        <w:t>但不限于</w:t>
      </w:r>
      <w:r>
        <w:rPr>
          <w:rFonts w:hint="eastAsia" w:ascii="宋体" w:hAnsi="宋体" w:cs="宋体"/>
          <w:color w:val="000000"/>
          <w:sz w:val="24"/>
        </w:rPr>
        <w:t>：服务成本、法定税费和企业的利润；在合同实施期间，除另签补充合同外，甲方不接受乙方以任何理由、任何名目提出增加费用的要求。</w:t>
      </w:r>
    </w:p>
    <w:p>
      <w:pPr>
        <w:spacing w:line="360" w:lineRule="auto"/>
        <w:ind w:left="11" w:firstLine="420"/>
        <w:rPr>
          <w:rFonts w:ascii="宋体" w:hAnsi="宋体" w:cs="宋体"/>
          <w:b/>
          <w:bCs/>
          <w:color w:val="000000"/>
          <w:sz w:val="24"/>
        </w:rPr>
      </w:pPr>
      <w:bookmarkStart w:id="23" w:name="_Toc30786"/>
      <w:r>
        <w:rPr>
          <w:rFonts w:hint="eastAsia" w:ascii="宋体" w:hAnsi="宋体" w:cs="宋体"/>
          <w:b/>
          <w:bCs/>
          <w:color w:val="000000"/>
          <w:sz w:val="24"/>
        </w:rPr>
        <w:t>三、技术资料</w:t>
      </w:r>
      <w:bookmarkEnd w:id="23"/>
    </w:p>
    <w:p>
      <w:pPr>
        <w:pStyle w:val="13"/>
        <w:snapToGrid w:val="0"/>
        <w:spacing w:line="360" w:lineRule="auto"/>
        <w:ind w:left="11" w:firstLine="480" w:firstLineChars="200"/>
        <w:rPr>
          <w:rFonts w:hAnsi="宋体" w:cs="宋体"/>
          <w:color w:val="000000"/>
          <w:sz w:val="24"/>
        </w:rPr>
      </w:pPr>
      <w:r>
        <w:rPr>
          <w:rFonts w:hint="eastAsia" w:hAnsi="宋体" w:cs="宋体"/>
          <w:color w:val="000000"/>
          <w:sz w:val="24"/>
        </w:rPr>
        <w:t>1.乙方应按本合同规定的时间向甲方提供有关技术资料。</w:t>
      </w:r>
    </w:p>
    <w:p>
      <w:pPr>
        <w:pStyle w:val="13"/>
        <w:snapToGrid w:val="0"/>
        <w:spacing w:line="360" w:lineRule="auto"/>
        <w:ind w:left="11" w:firstLine="480" w:firstLineChars="200"/>
        <w:rPr>
          <w:rFonts w:hAnsi="宋体" w:cs="宋体"/>
          <w:color w:val="000000"/>
          <w:sz w:val="24"/>
        </w:rPr>
      </w:pPr>
      <w:r>
        <w:rPr>
          <w:rFonts w:hint="eastAsia" w:hAnsi="宋体" w:cs="宋体"/>
          <w:color w:val="000000"/>
          <w:sz w:val="24"/>
        </w:rPr>
        <w:t>2.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3"/>
        <w:snapToGrid w:val="0"/>
        <w:spacing w:line="360" w:lineRule="auto"/>
        <w:ind w:left="11" w:firstLine="480" w:firstLineChars="200"/>
        <w:rPr>
          <w:rFonts w:hAnsi="宋体" w:cs="宋体"/>
          <w:color w:val="000000"/>
          <w:sz w:val="24"/>
        </w:rPr>
      </w:pPr>
      <w:r>
        <w:rPr>
          <w:rFonts w:hint="eastAsia" w:hAnsi="宋体" w:cs="宋体"/>
          <w:color w:val="000000"/>
          <w:sz w:val="24"/>
        </w:rPr>
        <w:t>3.合同履行完毕，未经甲方的书面同意，乙方不得保存在履行合同过程中所获得或接触到的任何内部数据资料。</w:t>
      </w:r>
    </w:p>
    <w:p>
      <w:pPr>
        <w:spacing w:line="360" w:lineRule="auto"/>
        <w:ind w:left="11" w:firstLine="420"/>
        <w:rPr>
          <w:rFonts w:ascii="宋体" w:hAnsi="宋体" w:cs="宋体"/>
          <w:b/>
          <w:bCs/>
          <w:color w:val="000000"/>
          <w:sz w:val="24"/>
        </w:rPr>
      </w:pPr>
      <w:bookmarkStart w:id="24" w:name="_Toc9742"/>
      <w:r>
        <w:rPr>
          <w:rFonts w:hint="eastAsia" w:ascii="宋体" w:hAnsi="宋体" w:cs="宋体"/>
          <w:b/>
          <w:bCs/>
          <w:color w:val="000000"/>
          <w:sz w:val="24"/>
        </w:rPr>
        <w:t>四、</w:t>
      </w:r>
      <w:r>
        <w:rPr>
          <w:rFonts w:hint="eastAsia" w:ascii="宋体" w:hAnsi="宋体" w:cs="宋体"/>
          <w:b/>
          <w:sz w:val="24"/>
        </w:rPr>
        <w:t>成果权属与</w:t>
      </w:r>
      <w:r>
        <w:rPr>
          <w:rFonts w:hint="eastAsia" w:ascii="宋体" w:hAnsi="宋体" w:cs="宋体"/>
          <w:b/>
          <w:bCs/>
          <w:color w:val="000000"/>
          <w:sz w:val="24"/>
        </w:rPr>
        <w:t>知识产权</w:t>
      </w:r>
      <w:bookmarkEnd w:id="24"/>
    </w:p>
    <w:p>
      <w:pPr>
        <w:snapToGrid w:val="0"/>
        <w:spacing w:line="360" w:lineRule="auto"/>
        <w:ind w:left="11" w:firstLine="480" w:firstLineChars="200"/>
        <w:rPr>
          <w:rFonts w:hint="eastAsia" w:ascii="宋体" w:hAnsi="宋体" w:cs="宋体"/>
          <w:color w:val="000000"/>
          <w:kern w:val="0"/>
          <w:sz w:val="24"/>
        </w:rPr>
      </w:pPr>
      <w:r>
        <w:rPr>
          <w:rFonts w:hint="eastAsia" w:ascii="宋体" w:hAnsi="宋体" w:cs="宋体"/>
          <w:color w:val="000000"/>
          <w:kern w:val="0"/>
          <w:sz w:val="24"/>
        </w:rPr>
        <w:t>1.本项目全部阶段性成果和最终成果（包括为后续服务范围所编制的文件）的知识产权以及与之相关的所有权利归甲方所有；本合同签署前双方已经拥有的知识产权权利，仍归各自所有。</w:t>
      </w:r>
    </w:p>
    <w:p>
      <w:pPr>
        <w:snapToGrid w:val="0"/>
        <w:spacing w:line="360" w:lineRule="auto"/>
        <w:ind w:left="11" w:firstLine="480" w:firstLineChars="200"/>
        <w:rPr>
          <w:rFonts w:hint="eastAsia" w:ascii="宋体" w:hAnsi="宋体" w:cs="宋体"/>
          <w:color w:val="000000"/>
          <w:kern w:val="0"/>
          <w:sz w:val="24"/>
        </w:rPr>
      </w:pPr>
      <w:r>
        <w:rPr>
          <w:rFonts w:hint="eastAsia" w:ascii="宋体" w:hAnsi="宋体" w:cs="宋体"/>
          <w:color w:val="000000"/>
          <w:kern w:val="0"/>
          <w:sz w:val="24"/>
        </w:rPr>
        <w:t>2.双方确定，甲方有权对乙方按照合同约定提供的研究开发成果（如有），进行后续改进。由此产生的具有实质性或创造性技术进步特征的新的技术成果及其权利归属，全部由甲方享有。具体相关利益的分配办法如下：甲方100%。</w:t>
      </w:r>
    </w:p>
    <w:p>
      <w:pPr>
        <w:snapToGrid w:val="0"/>
        <w:spacing w:line="360" w:lineRule="auto"/>
        <w:ind w:left="11" w:firstLine="480" w:firstLineChars="200"/>
        <w:rPr>
          <w:rFonts w:hint="eastAsia" w:ascii="宋体" w:hAnsi="宋体" w:cs="宋体"/>
          <w:color w:val="000000"/>
          <w:kern w:val="0"/>
          <w:sz w:val="24"/>
        </w:rPr>
      </w:pPr>
      <w:r>
        <w:rPr>
          <w:rFonts w:hint="eastAsia" w:ascii="宋体" w:hAnsi="宋体" w:cs="宋体"/>
          <w:color w:val="000000"/>
          <w:kern w:val="0"/>
          <w:sz w:val="24"/>
        </w:rPr>
        <w:t>3.乙方所提交的全部中间成果和最终成果文件及任何数据、资料、软件等不得侵犯任何第三方的知识产权或其他权利，由于使用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snapToGrid w:val="0"/>
        <w:spacing w:line="360" w:lineRule="auto"/>
        <w:ind w:left="11" w:firstLine="480" w:firstLineChars="200"/>
        <w:rPr>
          <w:rFonts w:hint="eastAsia" w:ascii="宋体" w:hAnsi="宋体" w:cs="宋体"/>
          <w:color w:val="000000"/>
          <w:kern w:val="0"/>
          <w:sz w:val="24"/>
        </w:rPr>
      </w:pPr>
      <w:r>
        <w:rPr>
          <w:rFonts w:hint="eastAsia" w:ascii="宋体" w:hAnsi="宋体" w:cs="宋体"/>
          <w:color w:val="000000"/>
          <w:kern w:val="0"/>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snapToGrid w:val="0"/>
        <w:spacing w:line="360" w:lineRule="auto"/>
        <w:ind w:left="11" w:firstLine="480" w:firstLineChars="200"/>
        <w:rPr>
          <w:rFonts w:ascii="宋体" w:hAnsi="宋体" w:cs="宋体"/>
          <w:color w:val="000000"/>
          <w:kern w:val="0"/>
          <w:sz w:val="24"/>
        </w:rPr>
      </w:pPr>
      <w:r>
        <w:rPr>
          <w:rFonts w:hint="eastAsia" w:ascii="宋体" w:hAnsi="宋体" w:cs="宋体"/>
          <w:color w:val="000000"/>
          <w:kern w:val="0"/>
          <w:sz w:val="24"/>
        </w:rPr>
        <w:t>5.乙方完成本合同项目的研究人员享有在有关技术成果文件上署名的权利和与甲方共同获得有关荣誉证书、奖励的权利。</w:t>
      </w:r>
    </w:p>
    <w:p>
      <w:pPr>
        <w:spacing w:line="360" w:lineRule="auto"/>
        <w:ind w:left="11" w:firstLine="420"/>
        <w:rPr>
          <w:rFonts w:ascii="宋体" w:hAnsi="宋体" w:cs="宋体"/>
          <w:b/>
          <w:bCs/>
          <w:color w:val="000000"/>
          <w:sz w:val="24"/>
        </w:rPr>
      </w:pPr>
      <w:bookmarkStart w:id="25" w:name="_Toc16452"/>
      <w:r>
        <w:rPr>
          <w:rFonts w:hint="eastAsia" w:ascii="宋体" w:hAnsi="宋体" w:cs="宋体"/>
          <w:b/>
          <w:bCs/>
          <w:color w:val="000000"/>
          <w:sz w:val="24"/>
        </w:rPr>
        <w:t>五、甲方的权利与义务</w:t>
      </w:r>
      <w:bookmarkEnd w:id="25"/>
    </w:p>
    <w:p>
      <w:pPr>
        <w:pStyle w:val="13"/>
        <w:snapToGrid w:val="0"/>
        <w:spacing w:line="360" w:lineRule="auto"/>
        <w:ind w:left="11" w:firstLine="480" w:firstLineChars="200"/>
        <w:rPr>
          <w:rFonts w:hAnsi="宋体" w:cs="宋体"/>
          <w:color w:val="000000"/>
          <w:sz w:val="24"/>
        </w:rPr>
      </w:pPr>
      <w:r>
        <w:rPr>
          <w:rFonts w:hint="eastAsia" w:hAnsi="宋体" w:cs="宋体"/>
          <w:color w:val="000000"/>
          <w:sz w:val="24"/>
        </w:rPr>
        <w:t>1.甲方的权利</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1.1甲方对项目研究过程的决策、控制、实施等环节实行全面管理，协调和监督项目工作开展，控制项目工作过程，进行项目成果验收。</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1.2检查乙方项目人员到位情况，如因人力、能力不足致使项目工作不能按计划完成时，可要求乙方增加或替换相应的技术人员，直至甲方认可，乙方不得拒绝。</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1.3甲方有权向乙方询问项目工作进展及相关情况，并要求乙方在指定时间内做出答复。</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1.4甲方有权对乙方提交的阶段性成果、最终成果等相关工作文件进行审核并提出修改意见，有权根据实际需要对成果进行综合优化、调整和修改。</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1.5如乙方所提供的用以说明和描述实施方案及步骤等项目成果文件，不具备实操性或实操性过低，影响最终方案和成果文件的质量，甲方有权要求乙方重新执行相应的工作服务，由此产生的全部费用由乙方自行承担。</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1.6甲方有权要求乙方全面履行合同。甲方不接受部分履行，如本合同项下部分成果文件未能按时交付则视为整体延误。</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1.7如甲方确认乙方工作人员未按照本合同要求履行职责，甲方有权要求乙方限期更换人员，直至终止合同并要求乙方承担相应赔偿责任。</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1.8甲方对乙方在委托权限范围内完成委托事项有指导、监督权利。</w:t>
      </w:r>
    </w:p>
    <w:p>
      <w:pPr>
        <w:pStyle w:val="13"/>
        <w:snapToGrid w:val="0"/>
        <w:spacing w:line="360" w:lineRule="auto"/>
        <w:ind w:left="11" w:firstLine="480" w:firstLineChars="200"/>
        <w:rPr>
          <w:rFonts w:hAnsi="宋体" w:cs="宋体"/>
          <w:color w:val="000000"/>
          <w:sz w:val="24"/>
        </w:rPr>
      </w:pPr>
      <w:r>
        <w:rPr>
          <w:rFonts w:hint="eastAsia" w:hAnsi="宋体" w:cs="宋体"/>
          <w:color w:val="000000"/>
          <w:sz w:val="24"/>
        </w:rPr>
        <w:t>2.甲方的义务</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2.1甲方应将项目所需相关档案资料、信息数据等移交给乙方，并要求乙方签收甲方提供的材料清单。</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2.2甲方对乙方按照合同约定所履行的服务提供必要的支持与协助。</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2.3根据合同约定的相关条款，按时支付乙方服务费用。</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2.4甲方指定项目联系人：</w:t>
      </w:r>
    </w:p>
    <w:p>
      <w:pPr>
        <w:pStyle w:val="13"/>
        <w:snapToGrid w:val="0"/>
        <w:spacing w:line="360" w:lineRule="auto"/>
        <w:ind w:left="11" w:firstLine="720" w:firstLineChars="300"/>
        <w:rPr>
          <w:rFonts w:hint="eastAsia" w:hAnsi="宋体" w:cs="宋体"/>
          <w:color w:val="000000"/>
          <w:sz w:val="24"/>
        </w:rPr>
      </w:pPr>
      <w:r>
        <w:rPr>
          <w:rFonts w:hint="eastAsia" w:hAnsi="宋体" w:cs="宋体"/>
          <w:color w:val="000000"/>
          <w:sz w:val="24"/>
        </w:rPr>
        <w:t xml:space="preserve">姓名： </w:t>
      </w:r>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联系方式：</w:t>
      </w:r>
    </w:p>
    <w:p>
      <w:pPr>
        <w:spacing w:line="360" w:lineRule="auto"/>
        <w:ind w:left="11" w:firstLine="420"/>
        <w:rPr>
          <w:rFonts w:ascii="宋体" w:hAnsi="宋体" w:cs="宋体"/>
          <w:b/>
          <w:bCs/>
          <w:color w:val="000000"/>
          <w:sz w:val="24"/>
        </w:rPr>
      </w:pPr>
      <w:bookmarkStart w:id="26" w:name="_Toc29058"/>
      <w:r>
        <w:rPr>
          <w:rFonts w:hint="eastAsia" w:ascii="宋体" w:hAnsi="宋体" w:cs="宋体"/>
          <w:b/>
          <w:bCs/>
          <w:color w:val="000000"/>
          <w:sz w:val="24"/>
        </w:rPr>
        <w:t>六、乙方的权利与义务</w:t>
      </w:r>
      <w:bookmarkEnd w:id="26"/>
    </w:p>
    <w:p>
      <w:pPr>
        <w:pStyle w:val="13"/>
        <w:snapToGrid w:val="0"/>
        <w:spacing w:line="360" w:lineRule="auto"/>
        <w:ind w:left="11" w:firstLine="720" w:firstLineChars="300"/>
        <w:rPr>
          <w:rFonts w:hAnsi="宋体" w:cs="宋体"/>
          <w:color w:val="000000"/>
          <w:sz w:val="24"/>
        </w:rPr>
      </w:pPr>
      <w:r>
        <w:rPr>
          <w:rFonts w:hint="eastAsia" w:hAnsi="宋体" w:cs="宋体"/>
          <w:color w:val="000000"/>
          <w:sz w:val="24"/>
        </w:rPr>
        <w:t>1.乙方的权利</w:t>
      </w:r>
    </w:p>
    <w:p>
      <w:pPr>
        <w:pStyle w:val="13"/>
        <w:snapToGrid w:val="0"/>
        <w:spacing w:line="360" w:lineRule="auto"/>
        <w:ind w:left="210" w:leftChars="100" w:firstLine="480" w:firstLineChars="200"/>
        <w:rPr>
          <w:rFonts w:hAnsi="宋体" w:cs="宋体"/>
          <w:color w:val="000000"/>
          <w:sz w:val="24"/>
        </w:rPr>
      </w:pPr>
      <w:r>
        <w:rPr>
          <w:rFonts w:hint="eastAsia" w:hAnsi="宋体" w:cs="宋体"/>
          <w:color w:val="000000"/>
          <w:sz w:val="24"/>
        </w:rPr>
        <w:t>1.1根据项目工作的需要，可要求甲方提供或协助乙方收集相关资料。</w:t>
      </w:r>
    </w:p>
    <w:p>
      <w:pPr>
        <w:pStyle w:val="13"/>
        <w:snapToGrid w:val="0"/>
        <w:spacing w:line="360" w:lineRule="auto"/>
        <w:ind w:left="210" w:leftChars="100" w:firstLine="480" w:firstLineChars="200"/>
        <w:rPr>
          <w:rFonts w:hAnsi="宋体" w:cs="宋体"/>
          <w:color w:val="000000"/>
          <w:sz w:val="24"/>
        </w:rPr>
      </w:pPr>
      <w:r>
        <w:rPr>
          <w:rFonts w:hint="eastAsia" w:hAnsi="宋体" w:cs="宋体"/>
          <w:color w:val="000000"/>
          <w:sz w:val="24"/>
        </w:rPr>
        <w:t>1.2参与本项目服务相关的工作会议及技术会议。</w:t>
      </w:r>
    </w:p>
    <w:p>
      <w:pPr>
        <w:pStyle w:val="13"/>
        <w:snapToGrid w:val="0"/>
        <w:spacing w:line="360" w:lineRule="auto"/>
        <w:ind w:left="210" w:leftChars="100" w:firstLine="480" w:firstLineChars="200"/>
        <w:rPr>
          <w:rFonts w:hAnsi="宋体" w:cs="宋体"/>
          <w:color w:val="000000"/>
          <w:sz w:val="24"/>
        </w:rPr>
      </w:pPr>
      <w:r>
        <w:rPr>
          <w:rFonts w:hint="eastAsia" w:hAnsi="宋体" w:cs="宋体"/>
          <w:color w:val="000000"/>
          <w:sz w:val="24"/>
        </w:rPr>
        <w:t>1.3根据合同约定收取相应的服务费。</w:t>
      </w:r>
    </w:p>
    <w:p>
      <w:pPr>
        <w:pStyle w:val="13"/>
        <w:snapToGrid w:val="0"/>
        <w:spacing w:line="360" w:lineRule="auto"/>
        <w:ind w:left="210" w:leftChars="100" w:firstLine="480" w:firstLineChars="200"/>
        <w:rPr>
          <w:rFonts w:hAnsi="宋体" w:cs="宋体"/>
          <w:color w:val="000000"/>
          <w:sz w:val="24"/>
        </w:rPr>
      </w:pPr>
      <w:r>
        <w:rPr>
          <w:rFonts w:hint="eastAsia" w:hAnsi="宋体" w:cs="宋体"/>
          <w:color w:val="000000"/>
          <w:sz w:val="24"/>
        </w:rPr>
        <w:t>2.乙方的义务</w:t>
      </w:r>
    </w:p>
    <w:p>
      <w:pPr>
        <w:pStyle w:val="13"/>
        <w:snapToGrid w:val="0"/>
        <w:spacing w:line="360" w:lineRule="auto"/>
        <w:ind w:left="210" w:leftChars="100" w:firstLine="480" w:firstLineChars="200"/>
        <w:rPr>
          <w:rFonts w:hAnsi="宋体" w:cs="宋体"/>
          <w:color w:val="000000"/>
          <w:sz w:val="24"/>
        </w:rPr>
      </w:pPr>
      <w:r>
        <w:rPr>
          <w:rFonts w:hint="eastAsia" w:hAnsi="宋体" w:cs="宋体"/>
          <w:color w:val="000000"/>
          <w:sz w:val="24"/>
        </w:rPr>
        <w:t>2.1乙方应按国家及深圳的有关法律法规、设计标准、技术规范以及本合同约定的工作内容、工作进度等要求提供项目服务，并对其提交的研究意见负责。对于与本项目工作内容相关的其他相关项目，乙方应进行充分了解并做好协调与衔接工作。</w:t>
      </w:r>
    </w:p>
    <w:p>
      <w:pPr>
        <w:pStyle w:val="13"/>
        <w:snapToGrid w:val="0"/>
        <w:spacing w:line="360" w:lineRule="auto"/>
        <w:ind w:left="210" w:leftChars="100" w:firstLine="480" w:firstLineChars="200"/>
        <w:rPr>
          <w:rFonts w:hAnsi="宋体" w:cs="宋体"/>
          <w:color w:val="000000"/>
          <w:sz w:val="24"/>
        </w:rPr>
      </w:pPr>
      <w:r>
        <w:rPr>
          <w:rFonts w:hint="eastAsia" w:hAnsi="宋体" w:cs="宋体"/>
          <w:color w:val="000000"/>
          <w:sz w:val="24"/>
        </w:rPr>
        <w:t>2.2对甲方提出的合理的额外服务，不应予以拒绝。</w:t>
      </w:r>
    </w:p>
    <w:p>
      <w:pPr>
        <w:pStyle w:val="13"/>
        <w:snapToGrid w:val="0"/>
        <w:spacing w:line="360" w:lineRule="auto"/>
        <w:ind w:left="210" w:leftChars="100" w:firstLine="480" w:firstLineChars="200"/>
        <w:rPr>
          <w:rFonts w:hAnsi="宋体" w:cs="宋体"/>
          <w:color w:val="000000"/>
          <w:sz w:val="24"/>
        </w:rPr>
      </w:pPr>
      <w:r>
        <w:rPr>
          <w:rFonts w:hint="eastAsia" w:hAnsi="宋体" w:cs="宋体"/>
          <w:color w:val="000000"/>
          <w:sz w:val="24"/>
        </w:rPr>
        <w:t>2.3如乙方提供的项目意见等成果文件不符合本合同要求，必须在甲方提出要求七个日历日内无条件修改，其费用由乙方自行承担。修改期间，甲方付款时间相应顺延。</w:t>
      </w:r>
    </w:p>
    <w:p>
      <w:pPr>
        <w:pStyle w:val="13"/>
        <w:snapToGrid w:val="0"/>
        <w:spacing w:line="360" w:lineRule="auto"/>
        <w:ind w:left="210" w:leftChars="100" w:firstLine="480" w:firstLineChars="200"/>
        <w:rPr>
          <w:rFonts w:hAnsi="宋体" w:cs="宋体"/>
          <w:color w:val="000000"/>
          <w:sz w:val="24"/>
        </w:rPr>
      </w:pPr>
      <w:r>
        <w:rPr>
          <w:rFonts w:hint="eastAsia" w:hAnsi="宋体" w:cs="宋体"/>
          <w:color w:val="000000"/>
          <w:sz w:val="24"/>
        </w:rPr>
        <w:t>2.4乙方不得将本合同项下权利义务</w:t>
      </w:r>
      <w:r>
        <w:rPr>
          <w:rFonts w:hint="eastAsia" w:hAnsi="宋体" w:cs="宋体"/>
          <w:color w:val="000000"/>
          <w:sz w:val="24"/>
          <w:lang w:eastAsia="zh-Hans"/>
        </w:rPr>
        <w:t>部分或全部</w:t>
      </w:r>
      <w:r>
        <w:rPr>
          <w:rFonts w:hint="eastAsia" w:hAnsi="宋体" w:cs="宋体"/>
          <w:color w:val="000000"/>
          <w:sz w:val="24"/>
        </w:rPr>
        <w:t>转让给任何第三方。</w:t>
      </w:r>
    </w:p>
    <w:p>
      <w:pPr>
        <w:pStyle w:val="13"/>
        <w:snapToGrid w:val="0"/>
        <w:spacing w:line="360" w:lineRule="auto"/>
        <w:ind w:left="210" w:leftChars="100" w:firstLine="480" w:firstLineChars="200"/>
        <w:rPr>
          <w:rFonts w:hAnsi="宋体" w:cs="宋体"/>
          <w:color w:val="000000"/>
          <w:sz w:val="24"/>
        </w:rPr>
      </w:pPr>
      <w:r>
        <w:rPr>
          <w:rFonts w:hint="eastAsia" w:hAnsi="宋体" w:cs="宋体"/>
          <w:color w:val="000000"/>
          <w:sz w:val="24"/>
        </w:rPr>
        <w:t>2.5乙方对其工作人员在合同履行期间的一切行为负责，期间发生的一切安全事故责任、其他人身损害以外及因此发生的人身损害赔偿和其他费用由乙方自行承担，概与甲方无关。若因此导致甲方支付赔偿及其他费用，乙方应全部偿还给甲方。</w:t>
      </w:r>
    </w:p>
    <w:p>
      <w:pPr>
        <w:spacing w:line="360" w:lineRule="auto"/>
        <w:ind w:left="11" w:firstLine="720" w:firstLineChars="300"/>
        <w:rPr>
          <w:rFonts w:ascii="宋体" w:hAnsi="宋体" w:cs="宋体"/>
          <w:color w:val="000000"/>
          <w:kern w:val="0"/>
          <w:sz w:val="24"/>
        </w:rPr>
      </w:pPr>
      <w:r>
        <w:rPr>
          <w:rFonts w:hint="eastAsia" w:ascii="宋体" w:hAnsi="宋体" w:cs="宋体"/>
          <w:color w:val="000000"/>
          <w:kern w:val="0"/>
          <w:sz w:val="24"/>
        </w:rPr>
        <w:t>2.6为保证项目成果的质量，乙方在合同履行期间，应按照要求成立专门的项目小组，并保障项目团队成员（含项目负责人）到位。项目负责人负责对项目实施全过程进行组织和指导，并承担项目的实质性工作。乙方应保证本合同的主要核心成员在项目实施期间全程参与项目实质性工作。如确需更换项目团队成员（含项目负责人），乙方应</w:t>
      </w:r>
      <w:r>
        <w:rPr>
          <w:rFonts w:hint="eastAsia" w:ascii="宋体" w:hAnsi="宋体" w:cs="宋体"/>
          <w:bCs/>
          <w:color w:val="000000"/>
          <w:sz w:val="24"/>
        </w:rPr>
        <w:t>至少提前30天</w:t>
      </w:r>
      <w:r>
        <w:rPr>
          <w:rFonts w:hint="eastAsia" w:ascii="宋体" w:hAnsi="宋体" w:cs="宋体"/>
          <w:color w:val="000000"/>
          <w:kern w:val="0"/>
          <w:sz w:val="24"/>
        </w:rPr>
        <w:t>事先征得甲方的同意，且接替人员的职位、资历应与原定成员相当，否则，每擅自更换一个项目团队成员（含项目负责人），乙方应向甲方支付本合同总价款5%的违约金。</w:t>
      </w:r>
    </w:p>
    <w:p>
      <w:pPr>
        <w:spacing w:line="360" w:lineRule="auto"/>
        <w:ind w:left="11" w:firstLine="720" w:firstLineChars="300"/>
        <w:rPr>
          <w:rFonts w:ascii="宋体" w:hAnsi="宋体" w:cs="宋体"/>
          <w:color w:val="000000"/>
          <w:kern w:val="0"/>
          <w:sz w:val="24"/>
        </w:rPr>
      </w:pPr>
      <w:r>
        <w:rPr>
          <w:rFonts w:hint="eastAsia" w:ascii="宋体" w:hAnsi="宋体" w:cs="宋体"/>
          <w:color w:val="000000"/>
          <w:kern w:val="0"/>
          <w:sz w:val="24"/>
        </w:rPr>
        <w:t>2.7合同履行期间，乙方应按甲方的要求进行现场调研、阶段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spacing w:line="360" w:lineRule="auto"/>
        <w:ind w:left="11" w:firstLine="720" w:firstLineChars="300"/>
        <w:rPr>
          <w:rFonts w:ascii="宋体" w:hAnsi="宋体" w:cs="宋体"/>
          <w:color w:val="000000"/>
          <w:kern w:val="0"/>
          <w:sz w:val="24"/>
        </w:rPr>
      </w:pPr>
      <w:r>
        <w:rPr>
          <w:rFonts w:hint="eastAsia" w:ascii="宋体" w:hAnsi="宋体" w:cs="宋体"/>
          <w:color w:val="000000"/>
          <w:kern w:val="0"/>
          <w:sz w:val="24"/>
        </w:rPr>
        <w:t>2.8乙方有维护甲方声誉的义务，乙方不能以甲方名义从事与本项目无关的任何事务。</w:t>
      </w:r>
    </w:p>
    <w:p>
      <w:pPr>
        <w:spacing w:line="360" w:lineRule="auto"/>
        <w:ind w:left="11" w:firstLine="720" w:firstLineChars="300"/>
        <w:rPr>
          <w:rFonts w:ascii="宋体" w:hAnsi="宋体" w:cs="宋体"/>
          <w:color w:val="000000"/>
          <w:kern w:val="0"/>
          <w:sz w:val="24"/>
        </w:rPr>
      </w:pPr>
      <w:r>
        <w:rPr>
          <w:rFonts w:hint="eastAsia" w:ascii="宋体" w:hAnsi="宋体" w:cs="宋体"/>
          <w:color w:val="000000"/>
          <w:kern w:val="0"/>
          <w:sz w:val="24"/>
        </w:rPr>
        <w:t>2.9本合同期满或提前解除、终止后，乙方应将甲方的档案资料、信息数据等交还甲方，并应销毁或删除所有备份。</w:t>
      </w:r>
    </w:p>
    <w:p>
      <w:pPr>
        <w:spacing w:line="360" w:lineRule="auto"/>
        <w:ind w:left="11" w:firstLine="720" w:firstLineChars="300"/>
        <w:rPr>
          <w:rFonts w:ascii="宋体" w:hAnsi="宋体" w:cs="宋体"/>
          <w:color w:val="000000"/>
          <w:kern w:val="0"/>
          <w:sz w:val="24"/>
        </w:rPr>
      </w:pPr>
      <w:r>
        <w:rPr>
          <w:rFonts w:hint="eastAsia" w:ascii="宋体" w:hAnsi="宋体" w:cs="宋体"/>
          <w:color w:val="000000"/>
          <w:kern w:val="0"/>
          <w:sz w:val="24"/>
        </w:rPr>
        <w:t>2.10乙方在完成本项目过程中，不得损害其他任何第三方的知识产权等合法权益，否则由此造成的相关责任应当由乙方自行承担，与甲方无关。</w:t>
      </w:r>
    </w:p>
    <w:p>
      <w:pPr>
        <w:spacing w:line="360" w:lineRule="auto"/>
        <w:ind w:left="11" w:firstLine="720" w:firstLineChars="300"/>
        <w:rPr>
          <w:rFonts w:ascii="宋体" w:hAnsi="宋体" w:cs="宋体"/>
          <w:color w:val="000000"/>
          <w:kern w:val="0"/>
          <w:sz w:val="24"/>
        </w:rPr>
      </w:pPr>
      <w:r>
        <w:rPr>
          <w:rFonts w:hint="eastAsia" w:ascii="宋体" w:hAnsi="宋体" w:cs="宋体"/>
          <w:color w:val="000000"/>
          <w:kern w:val="0"/>
          <w:sz w:val="24"/>
        </w:rPr>
        <w:t>2.11乙方应采取必要措施配合甲方验收人员的工作</w:t>
      </w:r>
      <w:r>
        <w:rPr>
          <w:rFonts w:hint="eastAsia" w:ascii="宋体" w:hAnsi="宋体" w:cs="宋体"/>
          <w:color w:val="000000"/>
          <w:kern w:val="0"/>
          <w:sz w:val="24"/>
          <w:lang w:eastAsia="zh-CN"/>
        </w:rPr>
        <w:t>，</w:t>
      </w:r>
      <w:r>
        <w:rPr>
          <w:rFonts w:hint="eastAsia" w:ascii="宋体" w:hAnsi="宋体" w:cs="宋体"/>
          <w:color w:val="000000"/>
          <w:kern w:val="0"/>
          <w:sz w:val="24"/>
        </w:rPr>
        <w:t>对于验收过程中发现的问题，乙方应在发现问题之日起3天内进行改正，以符合甲方的需要。</w:t>
      </w:r>
    </w:p>
    <w:p>
      <w:pPr>
        <w:spacing w:line="360" w:lineRule="auto"/>
        <w:ind w:left="11" w:firstLine="720" w:firstLineChars="300"/>
        <w:rPr>
          <w:rFonts w:ascii="宋体" w:hAnsi="宋体" w:cs="宋体"/>
          <w:color w:val="000000"/>
          <w:kern w:val="0"/>
          <w:sz w:val="24"/>
        </w:rPr>
      </w:pPr>
      <w:r>
        <w:rPr>
          <w:rFonts w:hint="eastAsia" w:ascii="宋体" w:hAnsi="宋体" w:cs="宋体"/>
          <w:color w:val="000000"/>
          <w:kern w:val="0"/>
          <w:sz w:val="24"/>
        </w:rPr>
        <w:t>2.12乙方指定项目联系人：</w:t>
      </w:r>
    </w:p>
    <w:p>
      <w:pPr>
        <w:spacing w:line="360" w:lineRule="auto"/>
        <w:ind w:left="11" w:firstLine="720" w:firstLineChars="300"/>
        <w:rPr>
          <w:rFonts w:hint="eastAsia" w:ascii="宋体" w:hAnsi="宋体" w:cs="宋体"/>
          <w:color w:val="000000"/>
          <w:kern w:val="0"/>
          <w:sz w:val="24"/>
        </w:rPr>
      </w:pPr>
      <w:r>
        <w:rPr>
          <w:rFonts w:hint="eastAsia" w:ascii="宋体" w:hAnsi="宋体" w:cs="宋体"/>
          <w:color w:val="000000"/>
          <w:kern w:val="0"/>
          <w:sz w:val="24"/>
        </w:rPr>
        <w:t xml:space="preserve">姓名： </w:t>
      </w:r>
    </w:p>
    <w:p>
      <w:pPr>
        <w:spacing w:line="360" w:lineRule="auto"/>
        <w:ind w:left="11" w:firstLine="720" w:firstLineChars="300"/>
        <w:rPr>
          <w:rFonts w:ascii="宋体" w:hAnsi="宋体" w:cs="宋体"/>
          <w:color w:val="000000"/>
          <w:kern w:val="0"/>
          <w:sz w:val="24"/>
        </w:rPr>
      </w:pPr>
      <w:r>
        <w:rPr>
          <w:rFonts w:hint="eastAsia" w:ascii="宋体" w:hAnsi="宋体" w:cs="宋体"/>
          <w:color w:val="000000"/>
          <w:kern w:val="0"/>
          <w:sz w:val="24"/>
        </w:rPr>
        <w:t>联系方式：</w:t>
      </w:r>
    </w:p>
    <w:p>
      <w:pPr>
        <w:spacing w:line="360" w:lineRule="auto"/>
        <w:ind w:left="11" w:firstLine="420"/>
        <w:rPr>
          <w:rFonts w:ascii="宋体" w:hAnsi="宋体" w:cs="宋体"/>
          <w:b/>
          <w:bCs/>
          <w:color w:val="000000"/>
          <w:sz w:val="24"/>
        </w:rPr>
      </w:pPr>
      <w:bookmarkStart w:id="27" w:name="_Toc24089"/>
      <w:r>
        <w:rPr>
          <w:rFonts w:hint="eastAsia" w:ascii="宋体" w:hAnsi="宋体" w:cs="宋体"/>
          <w:b/>
          <w:bCs/>
          <w:color w:val="000000"/>
          <w:sz w:val="24"/>
        </w:rPr>
        <w:t>七、合同履行时间</w:t>
      </w:r>
      <w:bookmarkEnd w:id="27"/>
    </w:p>
    <w:p>
      <w:pPr>
        <w:snapToGrid w:val="0"/>
        <w:spacing w:line="360" w:lineRule="auto"/>
        <w:ind w:left="11" w:firstLine="480" w:firstLineChars="200"/>
        <w:rPr>
          <w:rFonts w:hint="eastAsia" w:ascii="宋体" w:hAnsi="宋体" w:cs="宋体"/>
          <w:color w:val="000000"/>
          <w:sz w:val="24"/>
        </w:rPr>
      </w:pPr>
      <w:r>
        <w:rPr>
          <w:rFonts w:hint="eastAsia" w:ascii="宋体" w:hAnsi="宋体" w:cs="宋体"/>
          <w:bCs/>
          <w:color w:val="000000"/>
          <w:sz w:val="24"/>
        </w:rPr>
        <w:t>自合同签订之日6个月内</w:t>
      </w:r>
      <w:r>
        <w:rPr>
          <w:rFonts w:hint="eastAsia" w:ascii="宋体" w:hAnsi="宋体" w:cs="宋体"/>
          <w:color w:val="000000"/>
          <w:sz w:val="24"/>
        </w:rPr>
        <w:t>。</w:t>
      </w:r>
    </w:p>
    <w:p>
      <w:pPr>
        <w:snapToGrid w:val="0"/>
        <w:spacing w:line="360" w:lineRule="auto"/>
        <w:ind w:left="11" w:firstLine="420"/>
        <w:rPr>
          <w:rFonts w:ascii="宋体" w:hAnsi="宋体" w:cs="宋体"/>
          <w:b/>
          <w:bCs/>
          <w:color w:val="000000"/>
          <w:sz w:val="24"/>
        </w:rPr>
      </w:pPr>
      <w:bookmarkStart w:id="28" w:name="_Toc22413"/>
      <w:r>
        <w:rPr>
          <w:rFonts w:hint="eastAsia" w:ascii="宋体" w:hAnsi="宋体" w:cs="宋体"/>
          <w:b/>
          <w:bCs/>
          <w:color w:val="000000"/>
          <w:sz w:val="24"/>
        </w:rPr>
        <w:t>八、</w:t>
      </w:r>
      <w:bookmarkEnd w:id="28"/>
      <w:r>
        <w:rPr>
          <w:rFonts w:hint="eastAsia" w:ascii="宋体" w:hAnsi="宋体" w:cs="宋体"/>
          <w:b/>
          <w:bCs/>
          <w:color w:val="000000"/>
          <w:sz w:val="24"/>
        </w:rPr>
        <w:t>人员要求</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拟投入本项目的团队人员不少于6人，其中项目负责人1人，团队人员（项目负责人除外）不少于5人（不含退休返聘人员）。以下为本项目核心团队。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11"/>
        <w:gridCol w:w="879"/>
        <w:gridCol w:w="885"/>
        <w:gridCol w:w="930"/>
        <w:gridCol w:w="1770"/>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序号</w:t>
            </w:r>
          </w:p>
        </w:tc>
        <w:tc>
          <w:tcPr>
            <w:tcW w:w="101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姓名</w:t>
            </w:r>
          </w:p>
        </w:tc>
        <w:tc>
          <w:tcPr>
            <w:tcW w:w="8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性别</w:t>
            </w: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年龄</w:t>
            </w:r>
          </w:p>
        </w:tc>
        <w:tc>
          <w:tcPr>
            <w:tcW w:w="9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学历</w:t>
            </w:r>
          </w:p>
        </w:tc>
        <w:tc>
          <w:tcPr>
            <w:tcW w:w="177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职称、职务</w:t>
            </w:r>
          </w:p>
        </w:tc>
        <w:tc>
          <w:tcPr>
            <w:tcW w:w="186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r>
              <w:rPr>
                <w:rFonts w:hint="eastAsia" w:ascii="宋体" w:hAnsi="宋体" w:cs="宋体"/>
                <w:color w:val="000000"/>
                <w:sz w:val="24"/>
              </w:rPr>
              <w:t>拟任</w:t>
            </w:r>
            <w:r>
              <w:rPr>
                <w:rFonts w:ascii="宋体" w:hAnsi="宋体" w:cs="宋体"/>
                <w:color w:val="000000"/>
                <w:sz w:val="24"/>
              </w:rPr>
              <w:t>团队</w:t>
            </w:r>
            <w:r>
              <w:rPr>
                <w:rFonts w:hint="eastAsia" w:ascii="宋体" w:hAnsi="宋体" w:cs="宋体"/>
                <w:color w:val="00000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101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8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9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177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186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101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8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9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177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186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101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8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c>
          <w:tcPr>
            <w:tcW w:w="9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p>
        </w:tc>
        <w:tc>
          <w:tcPr>
            <w:tcW w:w="1770"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s="宋体"/>
                <w:color w:val="000000"/>
                <w:sz w:val="24"/>
              </w:rPr>
            </w:pPr>
          </w:p>
        </w:tc>
        <w:tc>
          <w:tcPr>
            <w:tcW w:w="186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rPr>
            </w:pPr>
          </w:p>
        </w:tc>
      </w:tr>
    </w:tbl>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1.参加本项目编制的人员配置必须与合同中的项目成员组成一致，若需调整需经甲方书面同意后，方可变更。</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2.必须以乙方直属人员（直属人员指劳动合同、社会保险等劳动关系在乙方的人员）参与本项目服务，不得使用挂靠队伍。</w:t>
      </w:r>
    </w:p>
    <w:p>
      <w:pPr>
        <w:snapToGrid w:val="0"/>
        <w:spacing w:line="360" w:lineRule="auto"/>
        <w:ind w:left="11" w:firstLine="420"/>
        <w:rPr>
          <w:rFonts w:ascii="宋体" w:hAnsi="宋体" w:cs="宋体"/>
          <w:color w:val="000000"/>
          <w:sz w:val="24"/>
        </w:rPr>
      </w:pPr>
      <w:r>
        <w:rPr>
          <w:rFonts w:hint="eastAsia" w:ascii="宋体" w:hAnsi="宋体" w:cs="宋体"/>
          <w:b/>
          <w:bCs/>
          <w:color w:val="000000"/>
          <w:sz w:val="24"/>
        </w:rPr>
        <w:t>九、</w:t>
      </w:r>
      <w:r>
        <w:rPr>
          <w:rFonts w:hint="eastAsia" w:ascii="宋体" w:hAnsi="宋体" w:cs="宋体"/>
          <w:b/>
          <w:sz w:val="24"/>
        </w:rPr>
        <w:t>工作成果及</w:t>
      </w:r>
      <w:r>
        <w:rPr>
          <w:rFonts w:hint="eastAsia" w:ascii="宋体" w:hAnsi="宋体" w:cs="宋体"/>
          <w:b/>
          <w:bCs/>
          <w:color w:val="000000"/>
          <w:sz w:val="24"/>
        </w:rPr>
        <w:t>验收要求</w:t>
      </w:r>
    </w:p>
    <w:p>
      <w:pPr>
        <w:snapToGrid w:val="0"/>
        <w:spacing w:line="360" w:lineRule="auto"/>
        <w:ind w:left="11" w:firstLine="480" w:firstLineChars="200"/>
        <w:rPr>
          <w:rFonts w:hint="eastAsia" w:ascii="宋体" w:hAnsi="宋体" w:cs="宋体"/>
          <w:bCs/>
          <w:sz w:val="24"/>
        </w:rPr>
      </w:pPr>
      <w:bookmarkStart w:id="29" w:name="_Toc11509"/>
      <w:r>
        <w:rPr>
          <w:rFonts w:hint="eastAsia" w:ascii="宋体" w:hAnsi="宋体" w:cs="宋体"/>
          <w:bCs/>
          <w:sz w:val="24"/>
        </w:rPr>
        <w:t>工作成果：</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1.关于前海发展观测观察评价研究模型的详细说明以及指标体系逻辑框架图。</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2.根据评估结果，形成前海发展观测观察评价</w:t>
      </w:r>
      <w:r>
        <w:rPr>
          <w:rFonts w:hint="eastAsia" w:ascii="宋体" w:hAnsi="宋体" w:cs="宋体"/>
          <w:bCs/>
          <w:sz w:val="24"/>
          <w:lang w:eastAsia="zh-CN"/>
        </w:rPr>
        <w:t>研究</w:t>
      </w:r>
      <w:r>
        <w:rPr>
          <w:rFonts w:hint="eastAsia" w:ascii="宋体" w:hAnsi="宋体" w:cs="宋体"/>
          <w:bCs/>
          <w:sz w:val="24"/>
        </w:rPr>
        <w:t>报告（包含改革、开放、深港融合发展、现代服务业发展四个板块）。</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3.项目成果以Word文本、PPT等形式呈现，以纸质形式和电子文件形式提交。</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验收要求：</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成果需满足国家颁布的有关法律、法规及政策要求，符合相关的技术规范和标准，项目成果应通过甲方验收。</w:t>
      </w:r>
    </w:p>
    <w:p>
      <w:pPr>
        <w:snapToGrid w:val="0"/>
        <w:spacing w:line="360" w:lineRule="auto"/>
        <w:ind w:left="11" w:firstLine="480" w:firstLineChars="200"/>
        <w:rPr>
          <w:rFonts w:hint="eastAsia" w:ascii="宋体" w:hAnsi="宋体" w:eastAsia="宋体" w:cs="宋体"/>
          <w:b w:val="0"/>
          <w:bCs/>
          <w:color w:val="000000"/>
          <w:sz w:val="24"/>
        </w:rPr>
      </w:pPr>
      <w:r>
        <w:rPr>
          <w:rFonts w:hint="eastAsia" w:ascii="宋体" w:hAnsi="宋体" w:eastAsia="宋体" w:cs="宋体"/>
          <w:bCs/>
          <w:sz w:val="24"/>
        </w:rPr>
        <w:t>出现不按期开展项目，不配合管理工作，未经同意终止项目，项目验收未通过，且经整改后仍未通过验收；项目成果出现弄虚作假、抄袭剽窃等行为；经费使用严重违反有关规定；或其他违反本办法、严重影响项目实施等行为，将终止合同、追回资金。</w:t>
      </w:r>
    </w:p>
    <w:p>
      <w:pPr>
        <w:snapToGrid w:val="0"/>
        <w:spacing w:line="360" w:lineRule="auto"/>
        <w:ind w:left="11" w:firstLine="482" w:firstLineChars="200"/>
        <w:rPr>
          <w:rFonts w:ascii="宋体" w:hAnsi="宋体" w:cs="宋体"/>
          <w:b/>
          <w:bCs/>
          <w:color w:val="000000"/>
          <w:sz w:val="24"/>
        </w:rPr>
      </w:pPr>
      <w:r>
        <w:rPr>
          <w:rFonts w:hint="eastAsia" w:ascii="宋体" w:hAnsi="宋体" w:cs="宋体"/>
          <w:b/>
          <w:bCs/>
          <w:color w:val="000000"/>
          <w:sz w:val="24"/>
        </w:rPr>
        <w:t>十、费用支付</w:t>
      </w:r>
      <w:bookmarkEnd w:id="29"/>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1.本项目共分二期进行付款：</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1.1.第一期：自本合同签订之日起15个工作日内，根据乙方提出的付款申请，甲方向乙方支付合同总价款的50%；即人民币  整（¥ 元）</w:t>
      </w:r>
    </w:p>
    <w:p>
      <w:pPr>
        <w:pStyle w:val="18"/>
        <w:spacing w:before="0" w:beforeAutospacing="0" w:after="0" w:afterAutospacing="0" w:line="360" w:lineRule="auto"/>
        <w:ind w:left="11" w:firstLine="480" w:firstLineChars="200"/>
        <w:rPr>
          <w:rFonts w:hint="eastAsia"/>
          <w:color w:val="000000"/>
        </w:rPr>
      </w:pPr>
      <w:r>
        <w:rPr>
          <w:rFonts w:hint="eastAsia"/>
          <w:color w:val="000000"/>
        </w:rPr>
        <w:t>1.2.第二期：乙方按要求完成所有工作，提交的所有项目成果通过甲方验收工作，且验收合格，甲方向乙方支付合同总价款的50%；即人民币 整（¥  元）</w:t>
      </w:r>
    </w:p>
    <w:p>
      <w:pPr>
        <w:pStyle w:val="18"/>
        <w:spacing w:before="0" w:beforeAutospacing="0" w:after="0" w:afterAutospacing="0" w:line="360" w:lineRule="auto"/>
        <w:ind w:left="11" w:firstLine="480" w:firstLineChars="200"/>
        <w:rPr>
          <w:color w:val="000000"/>
          <w:kern w:val="2"/>
        </w:rPr>
      </w:pPr>
      <w:r>
        <w:rPr>
          <w:rFonts w:hint="eastAsia"/>
          <w:color w:val="000000"/>
        </w:rPr>
        <w:t>1.3.上述每期款项均在满足付款条件，通过甲方审查批准，且甲方收到乙方开具的载明相应金额的合格发票后15个工作日内付至乙方指定银行账户。乙方需提供符合国家有关财税规定的正规发票。</w:t>
      </w:r>
      <w:r>
        <w:rPr>
          <w:rFonts w:hint="eastAsia"/>
          <w:color w:val="000000"/>
          <w:kern w:val="2"/>
        </w:rPr>
        <w:t>如未及时收到发票，则甲方相应付款时间顺延。因甲方付款审批影响支付进度，请乙方予以谅解，并不得就此向甲方索赔。</w:t>
      </w:r>
    </w:p>
    <w:p>
      <w:pPr>
        <w:spacing w:line="360" w:lineRule="auto"/>
        <w:ind w:left="11" w:firstLine="480" w:firstLineChars="200"/>
        <w:rPr>
          <w:rFonts w:ascii="宋体" w:hAnsi="宋体" w:cs="宋体"/>
          <w:color w:val="000000"/>
          <w:sz w:val="24"/>
          <w:lang w:val="zh-CN"/>
        </w:rPr>
      </w:pPr>
      <w:r>
        <w:rPr>
          <w:rFonts w:hint="eastAsia" w:ascii="宋体" w:hAnsi="宋体" w:cs="宋体"/>
          <w:color w:val="000000"/>
          <w:sz w:val="24"/>
        </w:rPr>
        <w:t>2.</w:t>
      </w:r>
      <w:r>
        <w:rPr>
          <w:rFonts w:hint="eastAsia" w:ascii="宋体" w:hAnsi="宋体" w:cs="宋体"/>
          <w:color w:val="000000"/>
          <w:sz w:val="24"/>
          <w:lang w:val="zh-CN"/>
        </w:rPr>
        <w:t>本合同执行中相关的一切税费均由乙方负担。</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3.合同价款由甲方分期付至乙方指定银行账户：</w:t>
      </w:r>
    </w:p>
    <w:p>
      <w:pPr>
        <w:spacing w:line="360" w:lineRule="auto"/>
        <w:ind w:left="11" w:firstLine="480" w:firstLineChars="200"/>
        <w:rPr>
          <w:rFonts w:ascii="宋体" w:hAnsi="宋体" w:cs="宋体"/>
          <w:color w:val="000000"/>
          <w:sz w:val="24"/>
          <w:lang w:val="zh-CN"/>
        </w:rPr>
      </w:pPr>
      <w:r>
        <w:rPr>
          <w:rFonts w:hint="eastAsia" w:ascii="宋体" w:hAnsi="宋体" w:cs="宋体"/>
          <w:color w:val="000000"/>
          <w:sz w:val="24"/>
        </w:rPr>
        <w:t>乙方银行账户信息：</w:t>
      </w:r>
    </w:p>
    <w:p>
      <w:pPr>
        <w:spacing w:line="360" w:lineRule="auto"/>
        <w:ind w:left="11" w:firstLine="480" w:firstLineChars="200"/>
        <w:rPr>
          <w:rFonts w:ascii="宋体" w:hAnsi="宋体" w:cs="宋体"/>
          <w:color w:val="000000"/>
          <w:sz w:val="24"/>
        </w:rPr>
      </w:pPr>
      <w:r>
        <w:rPr>
          <w:rFonts w:hint="eastAsia" w:ascii="宋体" w:hAnsi="宋体" w:cs="宋体"/>
          <w:color w:val="000000"/>
          <w:sz w:val="24"/>
        </w:rPr>
        <w:t>开户银行：</w:t>
      </w:r>
    </w:p>
    <w:p>
      <w:pPr>
        <w:spacing w:line="360" w:lineRule="auto"/>
        <w:ind w:left="11" w:firstLine="480" w:firstLineChars="200"/>
        <w:rPr>
          <w:rFonts w:ascii="宋体" w:hAnsi="宋体" w:cs="宋体"/>
          <w:color w:val="000000"/>
          <w:sz w:val="24"/>
        </w:rPr>
      </w:pPr>
      <w:r>
        <w:rPr>
          <w:rFonts w:hint="eastAsia" w:ascii="宋体" w:hAnsi="宋体" w:cs="宋体"/>
          <w:color w:val="000000"/>
          <w:sz w:val="24"/>
        </w:rPr>
        <w:t xml:space="preserve">户名： </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 xml:space="preserve">账号： </w:t>
      </w:r>
    </w:p>
    <w:p>
      <w:pPr>
        <w:pStyle w:val="18"/>
        <w:spacing w:before="0" w:beforeAutospacing="0" w:after="0" w:afterAutospacing="0" w:line="360" w:lineRule="auto"/>
        <w:ind w:left="11" w:firstLine="480" w:firstLineChars="200"/>
        <w:rPr>
          <w:color w:val="000000"/>
          <w:kern w:val="2"/>
        </w:rPr>
      </w:pPr>
      <w:r>
        <w:rPr>
          <w:rFonts w:hint="eastAsia"/>
          <w:color w:val="000000"/>
          <w:kern w:val="2"/>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360" w:lineRule="auto"/>
        <w:ind w:left="11" w:firstLine="420"/>
        <w:rPr>
          <w:rFonts w:ascii="宋体" w:hAnsi="宋体" w:cs="宋体"/>
          <w:b/>
          <w:bCs/>
          <w:color w:val="000000"/>
          <w:sz w:val="24"/>
        </w:rPr>
      </w:pPr>
      <w:r>
        <w:rPr>
          <w:rFonts w:hint="eastAsia" w:ascii="宋体" w:hAnsi="宋体" w:cs="宋体"/>
          <w:b/>
          <w:bCs/>
          <w:color w:val="000000"/>
          <w:sz w:val="24"/>
        </w:rPr>
        <w:t>十一、合同提前终止</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1.甲、乙双方不得擅自变更、中止或者终止本合同。如本合同继续履行将损害国家利益和社会公共利益的，双方当事人应当变更、中止或者终止本合同。有过错的一方应当承担赔偿责任，双方都有过错的，各自承担相应的责任。</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3.有下列情形之一的，本合同自甲方向乙方发出书面通知之日起终止：</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（1）甲方的职能发生转变，不再具有委托职能。</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（2）本合同签订时适用的法律法规或政策发生变化，且对本合同的继续履行造成重大影响。</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发生以上情形，甲方已向乙方支付的款项不退还，尚未支付的款项不再支付，同时乙方应向甲方提交在合同终止日前完成的所有项目文件和相关资料。</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4.如发生不可抗力或其他超出合同双方控制的事件，致使一方无法履行合同，本合同解除。</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（2）发生不可抗力，甲乙双方承担各自的损失。由于其中一方迟延履行合同义务后发生不可抗力的，其违约责任不能免除。</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 xml:space="preserve">（3）不可抗力事件导致一方无法履行合同义务或继续履行已无意义，由双方协商终止本合同并进行清算，甲方应按照乙方已完成的工作量支付款项，同时乙方应向甲方提交在合同终止日前完成的所有项目文件和相关资料 </w:t>
      </w:r>
    </w:p>
    <w:p>
      <w:pPr>
        <w:spacing w:line="360" w:lineRule="auto"/>
        <w:ind w:left="11" w:firstLine="420"/>
        <w:rPr>
          <w:rFonts w:ascii="宋体" w:hAnsi="宋体" w:cs="宋体"/>
          <w:b/>
          <w:bCs/>
          <w:color w:val="000000"/>
          <w:sz w:val="24"/>
        </w:rPr>
      </w:pPr>
      <w:bookmarkStart w:id="30" w:name="_Toc10529"/>
      <w:r>
        <w:rPr>
          <w:rFonts w:hint="eastAsia" w:ascii="宋体" w:hAnsi="宋体" w:cs="宋体"/>
          <w:b/>
          <w:bCs/>
          <w:color w:val="000000"/>
          <w:sz w:val="24"/>
        </w:rPr>
        <w:t>十二、争议解决</w:t>
      </w:r>
      <w:bookmarkEnd w:id="30"/>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因本合同的履行发生的或与本合同有关的争议或纠纷，任一方有权向深圳前海合作区人民法院提起诉讼。</w:t>
      </w:r>
    </w:p>
    <w:p>
      <w:pPr>
        <w:spacing w:line="360" w:lineRule="auto"/>
        <w:ind w:left="11" w:firstLine="420"/>
        <w:rPr>
          <w:rFonts w:ascii="宋体" w:hAnsi="宋体" w:cs="宋体"/>
          <w:b/>
          <w:bCs/>
          <w:color w:val="000000"/>
          <w:sz w:val="24"/>
        </w:rPr>
      </w:pPr>
      <w:bookmarkStart w:id="31" w:name="_Toc14951"/>
      <w:r>
        <w:rPr>
          <w:rFonts w:hint="eastAsia" w:ascii="宋体" w:hAnsi="宋体" w:cs="宋体"/>
          <w:b/>
          <w:bCs/>
          <w:color w:val="000000"/>
          <w:sz w:val="24"/>
        </w:rPr>
        <w:t>十三、违约责任</w:t>
      </w:r>
      <w:bookmarkEnd w:id="31"/>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1. 乙方未按照本合同约定的时间完成本项目各阶段工作，每延迟一日，甲方有权自尚未支付的合同款项中扣除本合同服务费总金额的1‰的逾期违约金。</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2.本合同项下的工作内容不可分割，任一文件的迟延交付均视为整个项目的迟延交付。</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3.本合同履行期间，发生下述情形时，甲方有权解除本合同，乙方除应退还甲方已支付的全部款项外</w:t>
      </w:r>
      <w:r>
        <w:rPr>
          <w:rFonts w:hint="eastAsia" w:hAnsi="宋体" w:cs="宋体"/>
          <w:color w:val="000000"/>
          <w:sz w:val="24"/>
          <w:lang w:eastAsia="zh-CN"/>
        </w:rPr>
        <w:t>，</w:t>
      </w:r>
      <w:r>
        <w:rPr>
          <w:rFonts w:hint="eastAsia" w:hAnsi="宋体" w:cs="宋体"/>
          <w:color w:val="000000"/>
          <w:sz w:val="24"/>
        </w:rPr>
        <w:t>还应在合同解除通知发出之日起10日内向甲方支付合同总价款20%的违约金。乙方应同时将已完成的项目成果移交给甲方，并将全部有关资料退还甲方：</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（1）乙方未能按合同约定的日期(含协商延缓的日期)提交各阶段工作成果，延误时间超过15个工作日；</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（2）因乙方工作的错误或遗漏造成成果质量损失，工作成果质量低劣，不能满足甲方工作需要和要求；</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（3）乙方虽如期提交最终成果，但连续二次未能通过甲方验收的；</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（4）未经甲方书面在先同意，乙方擅自将本合同项目与任何第三方合作，或将本合同标的全部或部分擅自转包或分包给任何第三方，且未按甲方的要求终止与第三方的合同的；</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（5）项目负责人未承担本合同项目实质性工作，或未经甲方书面在先同意，乙方擅自更换项目负责人的；</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（6）发现乙方或乙方工作人员出现全部或部分丧失履行委托服务能力的情况，甲方有权通知乙方限期整改或更换工作人员，期限届满乙方并未进行改善的；</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（7）乙方明确表示或者以自己的行为表明不履行本合同的。</w:t>
      </w:r>
    </w:p>
    <w:p>
      <w:pPr>
        <w:snapToGrid w:val="0"/>
        <w:spacing w:line="360" w:lineRule="auto"/>
        <w:ind w:left="11" w:firstLine="480" w:firstLineChars="200"/>
        <w:rPr>
          <w:rFonts w:hint="eastAsia" w:hAnsi="宋体" w:cs="宋体"/>
          <w:color w:val="000000"/>
          <w:sz w:val="24"/>
        </w:rPr>
      </w:pPr>
      <w:r>
        <w:rPr>
          <w:rFonts w:hint="eastAsia" w:hAnsi="宋体" w:cs="宋体"/>
          <w:color w:val="000000"/>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napToGrid w:val="0"/>
        <w:spacing w:line="360" w:lineRule="auto"/>
        <w:ind w:left="11" w:firstLine="480" w:firstLineChars="200"/>
        <w:rPr>
          <w:rFonts w:ascii="宋体" w:hAnsi="宋体" w:cs="宋体"/>
          <w:color w:val="000000"/>
          <w:sz w:val="24"/>
        </w:rPr>
      </w:pPr>
      <w:r>
        <w:rPr>
          <w:rFonts w:hint="eastAsia" w:hAnsi="宋体" w:cs="宋体"/>
          <w:color w:val="000000"/>
          <w:sz w:val="24"/>
        </w:rPr>
        <w:t>5.上述违约责任各自独立且可累加。本合同所约定的违约金如低于因违约行为所造成的损失，违约方应补偿上述不足部分的损失。</w:t>
      </w:r>
    </w:p>
    <w:p>
      <w:pPr>
        <w:spacing w:line="360" w:lineRule="auto"/>
        <w:ind w:left="11" w:firstLine="420"/>
        <w:rPr>
          <w:rFonts w:ascii="宋体" w:hAnsi="宋体" w:cs="宋体"/>
          <w:b/>
          <w:bCs/>
          <w:color w:val="000000"/>
          <w:sz w:val="24"/>
        </w:rPr>
      </w:pPr>
      <w:bookmarkStart w:id="32" w:name="OLE_LINK8"/>
      <w:bookmarkStart w:id="33" w:name="_Toc17510"/>
      <w:r>
        <w:rPr>
          <w:rFonts w:hint="eastAsia" w:ascii="宋体" w:hAnsi="宋体" w:cs="宋体"/>
          <w:b/>
          <w:bCs/>
          <w:color w:val="000000"/>
          <w:sz w:val="24"/>
        </w:rPr>
        <w:t>十四、</w:t>
      </w:r>
      <w:bookmarkEnd w:id="32"/>
      <w:r>
        <w:rPr>
          <w:rFonts w:hint="eastAsia" w:ascii="宋体" w:hAnsi="宋体" w:cs="宋体"/>
          <w:b/>
          <w:bCs/>
          <w:color w:val="000000"/>
          <w:sz w:val="24"/>
        </w:rPr>
        <w:t>项目变更</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本合同履行过程中的需求变更和进度调整，以甲乙双方达成一致的书面文件为准。</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乙方遇到不能按期完成工作的情况，应及时以书面形式将不能按期完成工作的理由、延误时间通知甲方。甲方在收到乙方通知后，根据情况决定是否延长完成时间。如同意延长，则乙方责任期也相应延长。由此产生的全部费用由乙方自行承担。</w:t>
      </w:r>
    </w:p>
    <w:p>
      <w:pPr>
        <w:snapToGrid w:val="0"/>
        <w:spacing w:line="360"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因非乙方责任造成项目进度推迟或延误，无法按照本合同约定的日期完成相应工作，双方经过协商可以进一步约定完成的日期，乙方的责任期也随之顺延。</w:t>
      </w:r>
    </w:p>
    <w:p>
      <w:pPr>
        <w:spacing w:line="360" w:lineRule="auto"/>
        <w:ind w:left="11" w:firstLine="420"/>
        <w:rPr>
          <w:rFonts w:hint="eastAsia" w:ascii="宋体" w:hAnsi="宋体" w:cs="宋体"/>
          <w:b/>
          <w:bCs/>
          <w:color w:val="000000"/>
          <w:sz w:val="24"/>
        </w:rPr>
      </w:pPr>
      <w:r>
        <w:rPr>
          <w:rFonts w:ascii="宋体" w:hAnsi="宋体" w:cs="宋体"/>
          <w:color w:val="000000"/>
          <w:sz w:val="24"/>
        </w:rPr>
        <w:t>4.</w:t>
      </w:r>
      <w:r>
        <w:rPr>
          <w:rFonts w:hint="eastAsia" w:ascii="宋体" w:hAnsi="宋体" w:cs="宋体"/>
          <w:color w:val="000000"/>
          <w:sz w:val="24"/>
        </w:rPr>
        <w:t>在本项目进展过程中，经双方同意的编制内容等方面的增减，如所涉增加费用的金额不超过本合同项下服务费总金额的10%，由双方商定变更内容及具体价格后签订书面补充协议予以确认。</w:t>
      </w:r>
    </w:p>
    <w:p>
      <w:pPr>
        <w:spacing w:line="360" w:lineRule="auto"/>
        <w:ind w:left="11" w:firstLine="420"/>
        <w:rPr>
          <w:rFonts w:ascii="宋体" w:hAnsi="宋体" w:cs="宋体"/>
          <w:b/>
          <w:bCs/>
          <w:color w:val="000000"/>
          <w:sz w:val="24"/>
        </w:rPr>
      </w:pPr>
      <w:r>
        <w:rPr>
          <w:rFonts w:hint="eastAsia" w:ascii="宋体" w:hAnsi="宋体" w:cs="宋体"/>
          <w:b/>
          <w:bCs/>
          <w:color w:val="000000"/>
          <w:sz w:val="24"/>
        </w:rPr>
        <w:t>十五、保密条款</w:t>
      </w:r>
      <w:bookmarkEnd w:id="33"/>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4.乙方实施项目的程序应符合国家安全、保密的有关规定和标准。</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5.上述保密义务不适用以下情况：</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（1）获取的信息已被合法公开；</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（2）获得信息拥有方书面许可并在该许可范围内披露；</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（3）国家法律、法规规定的情形。</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left="11" w:firstLine="480" w:firstLineChars="200"/>
        <w:rPr>
          <w:rFonts w:ascii="宋体" w:hAnsi="宋体" w:cs="宋体"/>
          <w:color w:val="000000"/>
          <w:sz w:val="24"/>
        </w:rPr>
      </w:pPr>
      <w:r>
        <w:rPr>
          <w:rFonts w:hint="eastAsia" w:ascii="宋体" w:hAnsi="宋体" w:cs="宋体"/>
          <w:color w:val="000000"/>
          <w:sz w:val="24"/>
        </w:rPr>
        <w:t>8.无论本合同或本合同其他条款是否有效，本保密条款始终约束双方。国家秘密的保密期限由国家有关部门确定，工作秘密的保密期限由甲方确定。</w:t>
      </w:r>
    </w:p>
    <w:p>
      <w:pPr>
        <w:spacing w:line="360" w:lineRule="auto"/>
        <w:ind w:left="11" w:firstLine="420"/>
        <w:rPr>
          <w:rFonts w:ascii="宋体" w:hAnsi="宋体" w:cs="宋体"/>
          <w:b/>
          <w:bCs/>
          <w:color w:val="000000"/>
          <w:sz w:val="24"/>
        </w:rPr>
      </w:pPr>
      <w:bookmarkStart w:id="34" w:name="_Toc16227"/>
      <w:r>
        <w:rPr>
          <w:rFonts w:hint="eastAsia" w:ascii="宋体" w:hAnsi="宋体" w:cs="宋体"/>
          <w:b/>
          <w:bCs/>
          <w:color w:val="000000"/>
          <w:sz w:val="24"/>
        </w:rPr>
        <w:t>十六、其他</w:t>
      </w:r>
      <w:bookmarkEnd w:id="34"/>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（1）合同书及补充协议；</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（2）中标通知书；</w:t>
      </w:r>
    </w:p>
    <w:p>
      <w:pPr>
        <w:snapToGrid w:val="0"/>
        <w:spacing w:line="360" w:lineRule="auto"/>
        <w:ind w:left="11" w:firstLine="480" w:firstLineChars="200"/>
        <w:rPr>
          <w:rFonts w:ascii="宋体" w:hAnsi="宋体" w:cs="宋体"/>
          <w:b/>
          <w:bCs/>
          <w:color w:val="000000"/>
          <w:sz w:val="24"/>
        </w:rPr>
      </w:pPr>
      <w:r>
        <w:rPr>
          <w:rFonts w:hint="eastAsia" w:ascii="宋体" w:hAnsi="宋体" w:cs="宋体"/>
          <w:color w:val="000000"/>
          <w:sz w:val="24"/>
        </w:rPr>
        <w:t>（3）招标文件（编号：  ）及其澄清、补正公告；</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（4）投标书。</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2.本合同替代此前双方所有关于本合同事项的口头或书面的纪要、备忘录、合同、协议。</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3.本合同附件（如有）为合同不可分割的组成部分，与本合同一并加盖骑缝章后具有同等法律效力。若附件与合同正文有任何冲突，以合同正文为准。</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4.本合同各条标题仅为提示之用，应以条文内容确定各方的权利义务。</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5.本合同未尽事宜，由双方协商签订补充协议进行约定。补充协议应以书面形式作成，经双方盖章后与本合同具有同等法律效力。</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6.本合同约定的权利和义务不因合同双方发生收购、兼并、重组、分立而发生变化。如果发生上述情形，则本合同约定的权利和义务随之转移至收购、兼并、重组或分立后成立的单位。</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7.如果本合同的任何条款在任何时候变成不合法、无效或不可强制执行而不从根本上影响本合同的效力时，本合同的其他条款不受影响。</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8.本合同的任何内容不应被视为或解释为双方之间具有合资、合伙、代理关系。</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9.任何一方未经另一方同意不得向任何第三方透露本合同的签订及其内容。甲方向其关联公司透露前述内容的，不受此限。</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11.本合同自双方盖章之日起生效，有效期至本合同全部权利义务履行完毕之日止。</w:t>
      </w:r>
    </w:p>
    <w:p>
      <w:pPr>
        <w:snapToGrid w:val="0"/>
        <w:spacing w:line="360" w:lineRule="auto"/>
        <w:ind w:left="11" w:firstLine="480" w:firstLineChars="200"/>
        <w:rPr>
          <w:rFonts w:ascii="宋体" w:hAnsi="宋体" w:cs="宋体"/>
          <w:color w:val="000000"/>
          <w:sz w:val="24"/>
        </w:rPr>
      </w:pPr>
      <w:r>
        <w:rPr>
          <w:rFonts w:hint="eastAsia" w:ascii="宋体" w:hAnsi="宋体" w:cs="宋体"/>
          <w:color w:val="000000"/>
          <w:sz w:val="24"/>
        </w:rPr>
        <w:t>12.本合同一式四份正本，甲方与乙方各执贰份，均具同等法律效力。（以下无正文）</w:t>
      </w:r>
    </w:p>
    <w:bookmarkEnd w:id="20"/>
    <w:p/>
    <w:p>
      <w:pPr>
        <w:snapToGrid w:val="0"/>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甲    方：深圳市前海深港现代服务业合作区管理局（盖章）</w:t>
      </w:r>
    </w:p>
    <w:p>
      <w:pPr>
        <w:snapToGrid w:val="0"/>
        <w:spacing w:line="360" w:lineRule="auto"/>
        <w:ind w:left="11" w:firstLine="480" w:firstLineChars="200"/>
        <w:rPr>
          <w:rFonts w:hint="eastAsia" w:ascii="宋体" w:hAnsi="宋体" w:cs="宋体"/>
          <w:color w:val="000000"/>
          <w:sz w:val="24"/>
        </w:rPr>
      </w:pPr>
    </w:p>
    <w:p>
      <w:pPr>
        <w:snapToGrid w:val="0"/>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授权代表：</w:t>
      </w:r>
    </w:p>
    <w:p>
      <w:pPr>
        <w:snapToGrid w:val="0"/>
        <w:spacing w:line="360" w:lineRule="auto"/>
        <w:ind w:left="11" w:firstLine="480" w:firstLineChars="200"/>
        <w:rPr>
          <w:rFonts w:hint="eastAsia" w:ascii="宋体" w:hAnsi="宋体" w:cs="宋体"/>
          <w:color w:val="000000"/>
          <w:sz w:val="24"/>
        </w:rPr>
      </w:pPr>
    </w:p>
    <w:p>
      <w:pPr>
        <w:snapToGrid w:val="0"/>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签署日期：    年    月    日</w:t>
      </w:r>
    </w:p>
    <w:p>
      <w:pPr>
        <w:snapToGrid w:val="0"/>
        <w:spacing w:line="360" w:lineRule="auto"/>
        <w:rPr>
          <w:rFonts w:hint="eastAsia" w:ascii="宋体" w:hAnsi="宋体" w:cs="宋体"/>
          <w:color w:val="000000"/>
          <w:sz w:val="24"/>
        </w:rPr>
      </w:pPr>
    </w:p>
    <w:p>
      <w:pPr>
        <w:snapToGrid w:val="0"/>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乙    方：                                    （盖章）</w:t>
      </w:r>
    </w:p>
    <w:p>
      <w:pPr>
        <w:snapToGrid w:val="0"/>
        <w:spacing w:line="360" w:lineRule="auto"/>
        <w:ind w:left="11" w:firstLine="480" w:firstLineChars="200"/>
        <w:rPr>
          <w:rFonts w:hint="eastAsia" w:ascii="宋体" w:hAnsi="宋体" w:cs="宋体"/>
          <w:color w:val="000000"/>
          <w:sz w:val="24"/>
        </w:rPr>
      </w:pPr>
    </w:p>
    <w:p>
      <w:pPr>
        <w:snapToGrid w:val="0"/>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授权代表：</w:t>
      </w:r>
    </w:p>
    <w:p>
      <w:pPr>
        <w:snapToGrid w:val="0"/>
        <w:spacing w:line="360" w:lineRule="auto"/>
        <w:ind w:left="11" w:firstLine="480" w:firstLineChars="200"/>
        <w:rPr>
          <w:rFonts w:hint="eastAsia" w:ascii="宋体" w:hAnsi="宋体" w:cs="宋体"/>
          <w:color w:val="000000"/>
          <w:sz w:val="24"/>
        </w:rPr>
      </w:pPr>
    </w:p>
    <w:p>
      <w:pPr>
        <w:snapToGrid w:val="0"/>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签署日期：    年    月    日</w:t>
      </w:r>
    </w:p>
    <w:p>
      <w:pPr>
        <w:pStyle w:val="9"/>
      </w:pPr>
    </w:p>
    <w:p>
      <w:pPr>
        <w:adjustRightInd w:val="0"/>
        <w:snapToGrid w:val="0"/>
        <w:spacing w:line="360" w:lineRule="auto"/>
        <w:ind w:firstLine="720" w:firstLineChars="30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b/>
          <w:bCs/>
          <w:szCs w:val="21"/>
        </w:rPr>
        <w:t>注：本合同样本仅供参考，具体条款内容采购人和中标人按前海管理局合同样本签订。实际合同样本不改变本招标文件的实质条件</w:t>
      </w:r>
      <w:r>
        <w:rPr>
          <w:rFonts w:hint="eastAsia" w:ascii="宋体" w:hAnsi="宋体" w:cs="宋体"/>
          <w:b/>
          <w:bCs/>
          <w:sz w:val="24"/>
        </w:rPr>
        <w:t>。</w:t>
      </w:r>
    </w:p>
    <w:p>
      <w:pPr>
        <w:snapToGrid w:val="0"/>
        <w:spacing w:line="360" w:lineRule="auto"/>
        <w:rPr>
          <w:rFonts w:ascii="宋体" w:hAnsi="宋体" w:cs="宋体"/>
          <w:sz w:val="24"/>
        </w:rPr>
      </w:pPr>
    </w:p>
    <w:p>
      <w:pPr>
        <w:pStyle w:val="9"/>
        <w:rPr>
          <w:rFonts w:ascii="宋体" w:hAnsi="宋体" w:cs="宋体"/>
        </w:rPr>
      </w:pPr>
    </w:p>
    <w:p/>
    <w:p>
      <w:pPr>
        <w:spacing w:line="360" w:lineRule="auto"/>
        <w:jc w:val="center"/>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第五章 </w:t>
      </w:r>
      <w:bookmarkStart w:id="35" w:name="_Toc25518"/>
      <w:r>
        <w:rPr>
          <w:rFonts w:hint="eastAsia" w:ascii="宋体" w:hAnsi="宋体" w:cs="宋体"/>
          <w:b/>
          <w:bCs/>
          <w:sz w:val="24"/>
        </w:rPr>
        <w:t>用户需求书</w:t>
      </w:r>
      <w:bookmarkEnd w:id="35"/>
    </w:p>
    <w:p>
      <w:pPr>
        <w:pStyle w:val="38"/>
        <w:tabs>
          <w:tab w:val="left" w:pos="720"/>
        </w:tabs>
        <w:autoSpaceDE w:val="0"/>
        <w:autoSpaceDN w:val="0"/>
        <w:adjustRightInd w:val="0"/>
        <w:spacing w:line="360" w:lineRule="auto"/>
        <w:ind w:right="17" w:firstLine="482"/>
        <w:jc w:val="left"/>
        <w:rPr>
          <w:rFonts w:hint="eastAsia" w:ascii="宋体" w:hAnsi="宋体" w:cs="宋体"/>
          <w:bCs/>
          <w:sz w:val="24"/>
        </w:rPr>
      </w:pPr>
      <w:bookmarkStart w:id="36" w:name="_Toc11045"/>
      <w:bookmarkStart w:id="37" w:name="_Toc23726"/>
      <w:r>
        <w:rPr>
          <w:rFonts w:hint="eastAsia" w:ascii="宋体" w:hAnsi="宋体" w:cs="宋体"/>
          <w:b/>
          <w:sz w:val="24"/>
        </w:rPr>
        <w:t>说明：本章“用户需求书”的全部内容为本项目正常开展的基本要求，投标人必须完全响应，否则将导致投标无效。</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一、项目背景</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长期以来，前海面临统计标准不统一、信息采集不完善、监测体系不健全、观察评价不够立体全面等突出问题。为有效提升前海管理局对区域发展态势的感知、研判与预警能力，为科学决策、精准施策提供支撑，本项目将推动建立前海发展观测观察评价研究模型，围绕《前海规划》赋予的“全面深化改革创新试验平台、高水平对外开放门户枢纽、‌深港深度融合发展引领区、现代服务业高质量发展高地”四大定位，完善观测评价的指标体系，并根据评估结果，形成前海发展分析报告。</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二、项目管理及进度要求</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Cs/>
          <w:sz w:val="24"/>
        </w:rPr>
      </w:pPr>
      <w:r>
        <w:rPr>
          <w:rFonts w:hint="eastAsia" w:ascii="宋体" w:hAnsi="宋体" w:cs="宋体"/>
          <w:b/>
          <w:sz w:val="24"/>
        </w:rPr>
        <w:t>1.前期准备阶段（1个月）</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系统收集、全面梳理前海当前统计标准现状，对比国内外先进地区观测体系；紧扣《前海规划》四大定位，开展指标体系初设与模型逻辑推演。</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Cs/>
          <w:sz w:val="24"/>
        </w:rPr>
      </w:pPr>
      <w:r>
        <w:rPr>
          <w:rFonts w:hint="eastAsia" w:ascii="宋体" w:hAnsi="宋体" w:cs="宋体"/>
          <w:b/>
          <w:sz w:val="24"/>
        </w:rPr>
        <w:t>2.模型构建和研究报告撰写阶段（4个月）</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一是建立前海发展观测观察评价研究模型。围绕改革、开放、深港融合发展、现代服务业发展四个主要维度，形成科学完备的监测观察指标体系。</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二是根据评估结果，形成前海发展观测观察评价</w:t>
      </w:r>
      <w:r>
        <w:rPr>
          <w:rFonts w:hint="eastAsia" w:ascii="宋体" w:hAnsi="宋体" w:cs="宋体"/>
          <w:bCs/>
          <w:sz w:val="24"/>
          <w:lang w:eastAsia="zh-CN"/>
        </w:rPr>
        <w:t>研究</w:t>
      </w:r>
      <w:r>
        <w:rPr>
          <w:rFonts w:hint="eastAsia" w:ascii="宋体" w:hAnsi="宋体" w:cs="宋体"/>
          <w:bCs/>
          <w:sz w:val="24"/>
        </w:rPr>
        <w:t>报告（包含改革、开放、深港融合发展、现代服务业发展四个板块）。对标全球通行标准和国内同类型战略平台，分析前海各项监测观察指标情况，找准各领域在全球全国的位置，发现问题并提出建议，形成观测报告。</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Cs/>
          <w:sz w:val="24"/>
        </w:rPr>
      </w:pPr>
      <w:r>
        <w:rPr>
          <w:rFonts w:hint="eastAsia" w:ascii="宋体" w:hAnsi="宋体" w:cs="宋体"/>
          <w:b/>
          <w:sz w:val="24"/>
        </w:rPr>
        <w:t>3.报告完善及验收评审阶段（1个月）</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按要求对项目成果进行内容查重，重复率不得超过20%，形成项目报告。组织外部专家进行评审，结合评审意见进行修改完善，优化研究报告及政策建议，并将最终成果提交主办部门进行验收。</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三、人员要求</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拟投入本项目的团队人员不少于6人，其中项目负责人1人，团队人员（项目负责人除外）不少于5人（不含退休返聘人员）。</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Cs/>
          <w:sz w:val="24"/>
        </w:rPr>
      </w:pPr>
      <w:r>
        <w:rPr>
          <w:rFonts w:hint="eastAsia" w:ascii="宋体" w:hAnsi="宋体" w:cs="宋体"/>
          <w:b/>
          <w:sz w:val="24"/>
        </w:rPr>
        <w:t>四、工作成果及验收要求</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工作成果：</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1.关于前海发展观测观察评价研究模型的详细说明以及指标体系逻辑框架图。</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2.根据评估结果，形成前海发展观测观察评价报告（包含改革、开放、深港融合发展、现代服务业发展四个板块）。</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3.项目成果以Word文本、PPT等形式呈现，以纸质形式和电子文件形式提交。</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验收要求：</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成果需满足国家颁布的有关法律、法规及政策要求，符合相关的技术规范和标准，项目成果应通过采购人验收。</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出现不按期开展项目，不配合管理工作，未经同意终止项目，项目验收未通过，且经整改后仍未通过验收；项目成果出现弄虚作假、抄袭剽窃等行为；经费使用严重违反有关规定；或其他违反本办法、严重影响项目实施等行为，将终止合同、追回资金。</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五、商务要求</w:t>
      </w:r>
    </w:p>
    <w:p>
      <w:pPr>
        <w:pStyle w:val="38"/>
        <w:tabs>
          <w:tab w:val="left" w:pos="720"/>
        </w:tabs>
        <w:autoSpaceDE w:val="0"/>
        <w:autoSpaceDN w:val="0"/>
        <w:adjustRightInd w:val="0"/>
        <w:spacing w:line="360" w:lineRule="auto"/>
        <w:ind w:right="17" w:firstLine="482"/>
        <w:jc w:val="left"/>
        <w:outlineLvl w:val="1"/>
        <w:rPr>
          <w:rFonts w:ascii="宋体" w:hAnsi="宋体" w:cs="宋体"/>
          <w:b/>
          <w:sz w:val="24"/>
        </w:rPr>
      </w:pPr>
      <w:r>
        <w:rPr>
          <w:rFonts w:hint="eastAsia" w:ascii="宋体" w:hAnsi="宋体" w:cs="宋体"/>
          <w:b/>
          <w:sz w:val="24"/>
        </w:rPr>
        <w:t>（一）服务期限</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本项目服务期限为自合同签订之日6个月内。</w:t>
      </w:r>
    </w:p>
    <w:p>
      <w:pPr>
        <w:tabs>
          <w:tab w:val="left" w:pos="720"/>
        </w:tabs>
        <w:autoSpaceDE w:val="0"/>
        <w:autoSpaceDN w:val="0"/>
        <w:adjustRightInd w:val="0"/>
        <w:spacing w:line="360" w:lineRule="auto"/>
        <w:ind w:right="17" w:firstLine="482" w:firstLineChars="200"/>
        <w:outlineLvl w:val="2"/>
        <w:rPr>
          <w:rFonts w:ascii="宋体" w:hAnsi="宋体" w:cs="宋体"/>
          <w:b/>
          <w:bCs/>
          <w:kern w:val="0"/>
          <w:sz w:val="24"/>
        </w:rPr>
      </w:pPr>
      <w:r>
        <w:rPr>
          <w:rFonts w:hint="eastAsia" w:ascii="宋体" w:hAnsi="宋体" w:cs="宋体"/>
          <w:b/>
          <w:bCs/>
          <w:kern w:val="0"/>
          <w:sz w:val="24"/>
        </w:rPr>
        <w:t>（二）报价要求</w:t>
      </w:r>
    </w:p>
    <w:p>
      <w:pPr>
        <w:widowControl/>
        <w:spacing w:line="360" w:lineRule="auto"/>
        <w:ind w:firstLine="480" w:firstLineChars="200"/>
        <w:rPr>
          <w:rFonts w:hint="eastAsia" w:ascii="宋体" w:hAnsi="宋体" w:cs="宋体"/>
          <w:sz w:val="24"/>
        </w:rPr>
      </w:pPr>
      <w:r>
        <w:rPr>
          <w:rFonts w:hint="eastAsia" w:ascii="宋体" w:hAnsi="宋体" w:cs="宋体"/>
          <w:sz w:val="24"/>
        </w:rPr>
        <w:t>1.本次投标为总价包干，投标报价总价作为中标人与采购人签订的合同金额。投标人的报价不可高于预算（限价），否则投标人的投标文件视同无效。投标报价包括服务成本、法定税费和企业的利润</w:t>
      </w:r>
      <w:r>
        <w:rPr>
          <w:rFonts w:hint="eastAsia" w:ascii="宋体" w:hAnsi="宋体" w:cs="宋体"/>
          <w:bCs/>
          <w:sz w:val="24"/>
        </w:rPr>
        <w:t>。</w:t>
      </w:r>
    </w:p>
    <w:p>
      <w:pPr>
        <w:widowControl/>
        <w:spacing w:line="360" w:lineRule="auto"/>
        <w:ind w:firstLine="480" w:firstLineChars="200"/>
        <w:rPr>
          <w:rFonts w:ascii="宋体" w:hAnsi="宋体" w:cs="宋体"/>
          <w:sz w:val="24"/>
        </w:rPr>
      </w:pPr>
      <w:r>
        <w:rPr>
          <w:rFonts w:hint="eastAsia" w:ascii="宋体" w:hAnsi="宋体" w:cs="宋体"/>
          <w:sz w:val="24"/>
        </w:rPr>
        <w:t>2.评标时，评标委员会认为投标人的报价异常低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sz w:val="24"/>
        </w:rPr>
      </w:pPr>
      <w:r>
        <w:rPr>
          <w:rFonts w:hint="eastAsia" w:ascii="宋体" w:hAnsi="宋体" w:cs="宋体"/>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sz w:val="24"/>
        </w:rPr>
      </w:pPr>
      <w:r>
        <w:rPr>
          <w:rFonts w:hint="eastAsia" w:ascii="宋体" w:hAnsi="宋体" w:cs="宋体"/>
          <w:sz w:val="24"/>
        </w:rPr>
        <w:t>4.投标人应充分了解项目位置、情况、道路及任何其他足以影响投标报价的情况，任何因忽视或误解项目情况而导致的索赔或服务期限延长申请将不获批。</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r>
        <w:rPr>
          <w:rFonts w:hint="eastAsia" w:ascii="宋体" w:hAnsi="宋体" w:cs="宋体"/>
          <w:bCs/>
          <w:sz w:val="24"/>
        </w:rPr>
        <w:t>。</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（三）项目付款要求</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本项目共分二期进行付款：</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1、第一期：自本合同签订之日起15个工作日内，根据中标人提出的付款申请，采购人向中标人支付合同总价款的50%；</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2、第二期：中标人按要求完成所有工作，提交的所有项目成果通过采购人验收工作，且验收合格，采购人向中标人支付合同总价款的50%；</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上述每期款项均在满足付款条件，通过采购人审查批准，且采购人收到中标方开具的载明相应金额的合格发票后15个工作日内付至中标方指定银行账户。中标方需提供符合国家有关财税规定的正规发票。如未及时收到发票，则采购人相应付款时间顺延。因采购人付款审批影响支付进度，请中标人予以谅解，并不得就此向采购人索赔。</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（四）项目其他要求</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1.投标人应确保报价文件中的人员信息真实、有效。</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2.采购人有权根据实际需要对评价成果进行综合优化、调整和修改。</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3.中标人不得以任何名义分包本项目工作中的主体工作内容。</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（五）成果权属与知识产权</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1.本项目全部阶段性成果和最终成果（包括为后续服务范围所编制的文件）的知识产权以及与之相关的所有权利归采购人所有；本合同签署前双方已经拥有的知识产权权利，仍归各自所有。</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pPr>
        <w:snapToGrid w:val="0"/>
        <w:spacing w:line="360" w:lineRule="auto"/>
        <w:ind w:left="11" w:firstLine="480" w:firstLineChars="200"/>
        <w:rPr>
          <w:rFonts w:hint="eastAsia" w:ascii="宋体" w:hAnsi="宋体" w:cs="宋体"/>
          <w:bCs/>
          <w:sz w:val="24"/>
        </w:rPr>
      </w:pPr>
      <w:r>
        <w:rPr>
          <w:rFonts w:hint="eastAsia" w:ascii="宋体" w:hAnsi="宋体" w:cs="宋体"/>
          <w:bCs/>
          <w:sz w:val="24"/>
        </w:rPr>
        <w:t>5.中标人完成本合同项目的研究人员享有在有关技术成果文件上署名的权利和与采购人共同获得有关荣誉证书、奖励的权利。</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（六）保密条款</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4.中标人实施项目的程序应符合国家安全、保密的有关规定和标准。</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5.上述保密义务不适用以下情况：</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（1）获取的信息已被合法公开；</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（2）获得信息拥有方书面许可并在该许可范围内披露；</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（3）国家法律、法规规定的情形。</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8.无论本合同或本合同其他条款是否有效，本保密条款始终约束双方。国家秘密的保密期限由国家有关部门确定，工作秘密的保密期限由采购人确定。</w:t>
      </w:r>
    </w:p>
    <w:p>
      <w:pPr>
        <w:pStyle w:val="38"/>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（七）违约责任</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1. 中标人未按照本合同约定的时间完成本项目各阶段工作，每延迟一日，采购人有权自尚未支付的合同款项中扣除本合同服务费总金额的1‰的逾期违约金。</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2.本合同项下的工作内容不可分割，任一文件的迟延交付均视为整个项目的迟延交付。</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3.本合同履行期间，发生下述情形时，采购人有权解除本合同，中标人除应退还采购人已支付的全部款项外</w:t>
      </w:r>
      <w:r>
        <w:rPr>
          <w:rFonts w:hint="eastAsia" w:ascii="宋体" w:hAnsi="宋体" w:cs="宋体"/>
          <w:color w:val="000000"/>
          <w:sz w:val="24"/>
          <w:lang w:eastAsia="zh-CN"/>
        </w:rPr>
        <w:t>，</w:t>
      </w:r>
      <w:r>
        <w:rPr>
          <w:rFonts w:hint="eastAsia" w:ascii="宋体" w:hAnsi="宋体" w:cs="宋体"/>
          <w:color w:val="000000"/>
          <w:sz w:val="24"/>
        </w:rPr>
        <w:t>还应在合同解除通知发出之日起10日内向采购人支付合同总价款20%的违约金。中标人应同时将已完成的项目成果移交给采购人，并将全部有关资料退还采购人：</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（1）中标人未能按合同约定的日期(含协商延缓的日期)提交各阶段工作成果，延误时间超过15个工作日；</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（2）因中标人工作的错误或遗漏造成成果质量损失，工作成果质量低劣，不能满足采购人工作需要和要求；</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（3）中标人虽如期提交最终成果，但连续二次未能通过采购人验收的；</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（4）未经采购人书面在先同意，中标人擅自将本合同项目与任何第三方合作，或将本合同标的全部或部分擅自转包或分包给任何第三方，且未按采购人的要求终止与第三方的合同的；</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（5）项目负责人未承担本合同项目实质性工作，或未经采购人书面在先同意，中标人擅自更换项目负责人的；</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（6）发现中标人或中标人工作人员出现全部或部分丧失履行委托服务能力的情况，采购人有权通知中标人限期整改或更换工作人员，期限届满中标人并未进行改善的；</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（7）中标人明确表示或者以自己的行为表明不履行本合同的。</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color w:val="000000"/>
          <w:sz w:val="24"/>
        </w:rPr>
      </w:pPr>
      <w:r>
        <w:rPr>
          <w:rFonts w:hint="eastAsia" w:ascii="宋体" w:hAnsi="宋体" w:cs="宋体"/>
          <w:color w:val="000000"/>
          <w:sz w:val="24"/>
        </w:rPr>
        <w:t>4.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pPr>
        <w:pStyle w:val="38"/>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color w:val="000000"/>
          <w:sz w:val="24"/>
        </w:rPr>
        <w:t>5.上述违约责任各自独立且可累加。本合同所约定的违约金如低于因违约行为所造成的损失，违约方应补偿上述不足部分的损失。</w:t>
      </w:r>
    </w:p>
    <w:bookmarkEnd w:id="36"/>
    <w:bookmarkEnd w:id="37"/>
    <w:p>
      <w:pPr>
        <w:pStyle w:val="38"/>
        <w:tabs>
          <w:tab w:val="left" w:pos="720"/>
        </w:tabs>
        <w:autoSpaceDE w:val="0"/>
        <w:autoSpaceDN w:val="0"/>
        <w:adjustRightInd w:val="0"/>
        <w:ind w:right="17" w:firstLine="480"/>
        <w:jc w:val="center"/>
        <w:outlineLvl w:val="0"/>
        <w:rPr>
          <w:rFonts w:ascii="宋体" w:cs="宋体"/>
          <w:b/>
          <w:bCs/>
          <w:sz w:val="24"/>
        </w:rPr>
      </w:pPr>
      <w:r>
        <w:rPr>
          <w:rFonts w:hint="eastAsia" w:ascii="宋体" w:hAnsi="宋体" w:cs="宋体"/>
          <w:bCs/>
          <w:sz w:val="24"/>
        </w:rPr>
        <w:br w:type="page"/>
      </w:r>
      <w:bookmarkStart w:id="38" w:name="_Toc23822"/>
      <w:r>
        <w:rPr>
          <w:rFonts w:hint="eastAsia" w:ascii="宋体" w:cs="宋体"/>
          <w:b/>
          <w:bCs/>
          <w:sz w:val="24"/>
        </w:rPr>
        <w:t>第六章 投标文件初审及招标项目评分表</w:t>
      </w:r>
      <w:bookmarkEnd w:id="38"/>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投标文件初审表（不可偏离条款）</w:t>
      </w:r>
    </w:p>
    <w:p>
      <w:pPr>
        <w:spacing w:line="360" w:lineRule="auto"/>
        <w:jc w:val="center"/>
        <w:rPr>
          <w:rFonts w:ascii="宋体" w:hAnsi="宋体" w:cs="宋体"/>
          <w:b/>
          <w:sz w:val="24"/>
        </w:rPr>
      </w:pPr>
      <w:r>
        <w:rPr>
          <w:rFonts w:hint="eastAsia" w:ascii="宋体" w:hAnsi="宋体" w:cs="宋体"/>
          <w:b/>
          <w:sz w:val="24"/>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jc w:val="center"/>
              <w:rPr>
                <w:rFonts w:ascii="宋体" w:hAnsi="宋体" w:cs="宋体"/>
                <w:sz w:val="24"/>
              </w:rPr>
            </w:pPr>
            <w:r>
              <w:rPr>
                <w:rFonts w:hint="eastAsia" w:ascii="宋体" w:hAnsi="宋体" w:cs="宋体"/>
                <w:b/>
                <w:bCs/>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ascii="宋体" w:hAnsi="宋体" w:cs="宋体"/>
                <w:sz w:val="24"/>
              </w:rPr>
            </w:pPr>
            <w:r>
              <w:rPr>
                <w:rFonts w:hint="eastAsia" w:ascii="宋体" w:hAnsi="宋体" w:cs="宋体"/>
                <w:sz w:val="24"/>
              </w:rPr>
              <w:t>1</w:t>
            </w:r>
          </w:p>
        </w:tc>
        <w:tc>
          <w:tcPr>
            <w:tcW w:w="7743" w:type="dxa"/>
            <w:noWrap w:val="0"/>
            <w:vAlign w:val="center"/>
          </w:tcPr>
          <w:p>
            <w:pPr>
              <w:rPr>
                <w:rFonts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9" w:type="dxa"/>
            <w:gridSpan w:val="2"/>
            <w:noWrap w:val="0"/>
            <w:vAlign w:val="center"/>
          </w:tcPr>
          <w:p>
            <w:pPr>
              <w:jc w:val="center"/>
              <w:rPr>
                <w:rFonts w:ascii="宋体" w:hAnsi="宋体" w:cs="宋体"/>
                <w:sz w:val="24"/>
              </w:rPr>
            </w:pPr>
            <w:r>
              <w:rPr>
                <w:rFonts w:hint="eastAsia" w:ascii="宋体" w:hAnsi="宋体" w:cs="宋体"/>
                <w:b/>
                <w:bCs/>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noWrap w:val="0"/>
            <w:vAlign w:val="center"/>
          </w:tcPr>
          <w:p>
            <w:pPr>
              <w:jc w:val="center"/>
              <w:rPr>
                <w:rFonts w:hint="eastAsia" w:ascii="宋体" w:hAnsi="宋体" w:cs="宋体"/>
                <w:sz w:val="24"/>
              </w:rPr>
            </w:pPr>
            <w:r>
              <w:rPr>
                <w:rFonts w:hint="eastAsia" w:ascii="宋体" w:hAnsi="宋体" w:cs="宋体"/>
                <w:sz w:val="24"/>
              </w:rPr>
              <w:t>1</w:t>
            </w:r>
          </w:p>
        </w:tc>
        <w:tc>
          <w:tcPr>
            <w:tcW w:w="7743" w:type="dxa"/>
            <w:noWrap w:val="0"/>
            <w:vAlign w:val="center"/>
          </w:tcPr>
          <w:p>
            <w:pPr>
              <w:rPr>
                <w:rFonts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noWrap w:val="0"/>
            <w:vAlign w:val="center"/>
          </w:tcPr>
          <w:p>
            <w:pPr>
              <w:jc w:val="center"/>
              <w:rPr>
                <w:rFonts w:hint="eastAsia" w:ascii="宋体" w:hAnsi="宋体" w:cs="宋体"/>
                <w:sz w:val="24"/>
              </w:rPr>
            </w:pPr>
            <w:r>
              <w:rPr>
                <w:rFonts w:hint="eastAsia" w:ascii="宋体" w:hAnsi="宋体" w:cs="宋体"/>
                <w:sz w:val="24"/>
              </w:rPr>
              <w:t>2</w:t>
            </w:r>
          </w:p>
        </w:tc>
        <w:tc>
          <w:tcPr>
            <w:tcW w:w="7743" w:type="dxa"/>
            <w:noWrap w:val="0"/>
            <w:vAlign w:val="center"/>
          </w:tcPr>
          <w:p>
            <w:pPr>
              <w:rPr>
                <w:rFonts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eastAsia" w:ascii="宋体" w:hAnsi="宋体" w:cs="宋体"/>
                <w:sz w:val="24"/>
              </w:rPr>
            </w:pPr>
            <w:r>
              <w:rPr>
                <w:rFonts w:hint="eastAsia" w:ascii="宋体" w:hAnsi="宋体" w:cs="宋体"/>
                <w:sz w:val="24"/>
              </w:rPr>
              <w:t>3</w:t>
            </w:r>
          </w:p>
        </w:tc>
        <w:tc>
          <w:tcPr>
            <w:tcW w:w="7743" w:type="dxa"/>
            <w:noWrap w:val="0"/>
            <w:vAlign w:val="center"/>
          </w:tcPr>
          <w:p>
            <w:pPr>
              <w:rPr>
                <w:rFonts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eastAsia" w:ascii="宋体" w:hAnsi="宋体" w:cs="宋体"/>
                <w:sz w:val="24"/>
              </w:rPr>
            </w:pPr>
            <w:r>
              <w:rPr>
                <w:rFonts w:hint="eastAsia" w:ascii="宋体" w:hAnsi="宋体" w:cs="宋体"/>
                <w:sz w:val="24"/>
              </w:rPr>
              <w:t>4</w:t>
            </w:r>
          </w:p>
        </w:tc>
        <w:tc>
          <w:tcPr>
            <w:tcW w:w="7743" w:type="dxa"/>
            <w:noWrap w:val="0"/>
            <w:vAlign w:val="center"/>
          </w:tcPr>
          <w:p>
            <w:pPr>
              <w:rPr>
                <w:rFonts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eastAsia" w:ascii="宋体" w:hAnsi="宋体" w:cs="宋体"/>
                <w:sz w:val="24"/>
              </w:rPr>
            </w:pPr>
            <w:r>
              <w:rPr>
                <w:rFonts w:hint="eastAsia" w:ascii="宋体" w:hAnsi="宋体" w:cs="宋体"/>
                <w:sz w:val="24"/>
              </w:rPr>
              <w:t>5</w:t>
            </w:r>
          </w:p>
        </w:tc>
        <w:tc>
          <w:tcPr>
            <w:tcW w:w="7743" w:type="dxa"/>
            <w:noWrap w:val="0"/>
            <w:vAlign w:val="center"/>
          </w:tcPr>
          <w:p>
            <w:pPr>
              <w:rPr>
                <w:rFonts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eastAsia" w:ascii="宋体" w:hAnsi="宋体" w:cs="宋体"/>
                <w:sz w:val="24"/>
              </w:rPr>
            </w:pPr>
            <w:r>
              <w:rPr>
                <w:rFonts w:hint="eastAsia" w:ascii="宋体" w:hAnsi="宋体" w:cs="宋体"/>
                <w:sz w:val="24"/>
              </w:rPr>
              <w:t>6</w:t>
            </w:r>
          </w:p>
        </w:tc>
        <w:tc>
          <w:tcPr>
            <w:tcW w:w="7743" w:type="dxa"/>
            <w:noWrap w:val="0"/>
            <w:vAlign w:val="center"/>
          </w:tcPr>
          <w:p>
            <w:pPr>
              <w:rPr>
                <w:rFonts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eastAsia" w:ascii="宋体" w:hAnsi="宋体" w:cs="宋体"/>
                <w:sz w:val="24"/>
              </w:rPr>
            </w:pPr>
            <w:r>
              <w:rPr>
                <w:rFonts w:hint="eastAsia" w:ascii="宋体" w:hAnsi="宋体" w:cs="宋体"/>
                <w:sz w:val="24"/>
              </w:rPr>
              <w:t>7</w:t>
            </w:r>
          </w:p>
        </w:tc>
        <w:tc>
          <w:tcPr>
            <w:tcW w:w="7743" w:type="dxa"/>
            <w:noWrap w:val="0"/>
            <w:vAlign w:val="center"/>
          </w:tcPr>
          <w:p>
            <w:pPr>
              <w:rPr>
                <w:rFonts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eastAsia" w:ascii="宋体" w:hAnsi="宋体" w:cs="宋体"/>
                <w:sz w:val="24"/>
              </w:rPr>
            </w:pPr>
            <w:r>
              <w:rPr>
                <w:rFonts w:hint="eastAsia" w:ascii="宋体" w:hAnsi="宋体" w:cs="宋体"/>
                <w:sz w:val="24"/>
              </w:rPr>
              <w:t>8</w:t>
            </w:r>
          </w:p>
        </w:tc>
        <w:tc>
          <w:tcPr>
            <w:tcW w:w="7743" w:type="dxa"/>
            <w:noWrap w:val="0"/>
            <w:vAlign w:val="center"/>
          </w:tcPr>
          <w:p>
            <w:pPr>
              <w:rPr>
                <w:rFonts w:ascii="宋体" w:hAnsi="宋体" w:cs="宋体"/>
                <w:sz w:val="24"/>
              </w:rPr>
            </w:pPr>
            <w:r>
              <w:rPr>
                <w:rFonts w:hint="eastAsia" w:ascii="宋体" w:hAnsi="宋体" w:cs="宋体"/>
                <w:sz w:val="24"/>
              </w:rPr>
              <w:t>未出现“所投货物或工程或服务在质量、技术、方案等方面没有实质性满足招标文件要求”的情形</w:t>
            </w:r>
          </w:p>
          <w:p>
            <w:pPr>
              <w:rPr>
                <w:rFonts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eastAsia" w:ascii="宋体" w:hAnsi="宋体" w:cs="宋体"/>
                <w:sz w:val="24"/>
              </w:rPr>
            </w:pPr>
            <w:r>
              <w:rPr>
                <w:rFonts w:hint="eastAsia" w:ascii="宋体" w:hAnsi="宋体" w:cs="宋体"/>
                <w:sz w:val="24"/>
              </w:rPr>
              <w:t>9</w:t>
            </w:r>
          </w:p>
        </w:tc>
        <w:tc>
          <w:tcPr>
            <w:tcW w:w="7743" w:type="dxa"/>
            <w:noWrap w:val="0"/>
            <w:vAlign w:val="center"/>
          </w:tcPr>
          <w:p>
            <w:pPr>
              <w:rPr>
                <w:rFonts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eastAsia" w:ascii="宋体" w:hAnsi="宋体" w:cs="宋体"/>
                <w:sz w:val="24"/>
              </w:rPr>
            </w:pPr>
            <w:r>
              <w:rPr>
                <w:rFonts w:hint="eastAsia" w:ascii="宋体" w:hAnsi="宋体" w:cs="宋体"/>
                <w:sz w:val="24"/>
              </w:rPr>
              <w:t>10</w:t>
            </w:r>
          </w:p>
        </w:tc>
        <w:tc>
          <w:tcPr>
            <w:tcW w:w="7743" w:type="dxa"/>
            <w:noWrap w:val="0"/>
            <w:vAlign w:val="center"/>
          </w:tcPr>
          <w:p>
            <w:pPr>
              <w:rPr>
                <w:rFonts w:ascii="宋体" w:hAnsi="宋体" w:cs="宋体"/>
                <w:b/>
                <w:bCs/>
                <w:sz w:val="24"/>
              </w:rPr>
            </w:pPr>
            <w:r>
              <w:rPr>
                <w:rFonts w:hint="eastAsia" w:ascii="宋体" w:hAnsi="宋体" w:cs="宋体"/>
                <w:b/>
                <w:bCs/>
                <w:sz w:val="24"/>
              </w:rPr>
              <w:t>报价合理性审查</w:t>
            </w:r>
          </w:p>
          <w:p>
            <w:pPr>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 w:type="dxa"/>
            <w:noWrap w:val="0"/>
            <w:vAlign w:val="center"/>
          </w:tcPr>
          <w:p>
            <w:pPr>
              <w:jc w:val="center"/>
              <w:rPr>
                <w:rFonts w:ascii="宋体" w:hAnsi="宋体" w:cs="宋体"/>
                <w:sz w:val="24"/>
              </w:rPr>
            </w:pPr>
            <w:r>
              <w:rPr>
                <w:rFonts w:hint="eastAsia" w:ascii="宋体" w:hAnsi="宋体" w:cs="宋体"/>
                <w:sz w:val="24"/>
              </w:rPr>
              <w:t>11</w:t>
            </w:r>
          </w:p>
        </w:tc>
        <w:tc>
          <w:tcPr>
            <w:tcW w:w="7743" w:type="dxa"/>
            <w:noWrap w:val="0"/>
            <w:vAlign w:val="center"/>
          </w:tcPr>
          <w:p>
            <w:pPr>
              <w:rPr>
                <w:rFonts w:ascii="宋体" w:hAnsi="宋体" w:cs="宋体"/>
                <w:sz w:val="24"/>
              </w:rPr>
            </w:pPr>
            <w:r>
              <w:rPr>
                <w:rFonts w:hint="eastAsia" w:ascii="宋体" w:hAnsi="宋体" w:cs="宋体"/>
                <w:sz w:val="24"/>
              </w:rPr>
              <w:t>未出现法律、法规规定的其他情形</w:t>
            </w:r>
          </w:p>
        </w:tc>
      </w:tr>
    </w:tbl>
    <w:p>
      <w:pPr>
        <w:spacing w:line="360" w:lineRule="auto"/>
        <w:jc w:val="center"/>
        <w:rPr>
          <w:rFonts w:ascii="宋体" w:hAnsi="宋体" w:cs="宋体"/>
          <w:sz w:val="24"/>
        </w:rPr>
      </w:pPr>
      <w:r>
        <w:rPr>
          <w:rFonts w:hint="eastAsia" w:ascii="宋体" w:hAnsi="宋体" w:cs="宋体"/>
          <w:b/>
          <w:bCs/>
          <w:sz w:val="24"/>
        </w:rPr>
        <w:br w:type="page"/>
      </w:r>
      <w:bookmarkStart w:id="39" w:name="_Toc9548"/>
      <w:bookmarkStart w:id="40" w:name="_Hlk28269117"/>
      <w:r>
        <w:rPr>
          <w:rFonts w:hint="eastAsia" w:ascii="宋体" w:hAnsi="宋体" w:cs="宋体"/>
          <w:b/>
          <w:bCs/>
          <w:sz w:val="24"/>
        </w:rPr>
        <w:t>招标项目评分表</w:t>
      </w:r>
    </w:p>
    <w:p>
      <w:pPr>
        <w:tabs>
          <w:tab w:val="left" w:pos="640"/>
          <w:tab w:val="left" w:pos="1260"/>
          <w:tab w:val="left" w:pos="1418"/>
        </w:tabs>
        <w:spacing w:line="360" w:lineRule="auto"/>
        <w:ind w:right="-420" w:rightChars="-200"/>
        <w:rPr>
          <w:rFonts w:ascii="宋体" w:hAnsi="宋体" w:cs="宋体"/>
          <w:sz w:val="24"/>
          <w:lang w:val="fr-CH"/>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6"/>
        <w:gridCol w:w="1046"/>
        <w:gridCol w:w="5288"/>
        <w:gridCol w:w="770"/>
        <w:gridCol w:w="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5"/>
            <w:shd w:val="clear" w:color="auto" w:fill="D9D9D9"/>
            <w:noWrap w:val="0"/>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一、价格部分（</w:t>
            </w:r>
            <w:r>
              <w:rPr>
                <w:rFonts w:hint="eastAsia" w:ascii="宋体" w:hAnsi="宋体" w:cs="宋体"/>
                <w:b/>
                <w:sz w:val="24"/>
              </w:rPr>
              <w:t>10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614"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3105"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452"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分值</w:t>
            </w:r>
          </w:p>
        </w:tc>
        <w:tc>
          <w:tcPr>
            <w:tcW w:w="448"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614"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b/>
                <w:sz w:val="24"/>
              </w:rPr>
              <w:t>投标报价</w:t>
            </w:r>
          </w:p>
        </w:tc>
        <w:tc>
          <w:tcPr>
            <w:tcW w:w="3105" w:type="pct"/>
            <w:noWrap w:val="0"/>
            <w:vAlign w:val="center"/>
          </w:tcPr>
          <w:p>
            <w:pPr>
              <w:widowControl/>
              <w:jc w:val="left"/>
              <w:rPr>
                <w:rFonts w:hint="eastAsia" w:ascii="宋体" w:hAnsi="宋体" w:cs="宋体"/>
                <w:sz w:val="24"/>
                <w:lang w:bidi="ar"/>
              </w:rPr>
            </w:pPr>
            <w:r>
              <w:rPr>
                <w:rFonts w:hint="eastAsia" w:ascii="宋体" w:hAnsi="宋体" w:cs="宋体"/>
                <w:sz w:val="24"/>
                <w:lang w:bidi="ar"/>
              </w:rPr>
              <w:t>价格分计算方法：满足招标文件要求且投标价格最低的投标报价为评标基准价，其价格分为满分。其他投标人的价格分统一按照下列公式计算：</w:t>
            </w:r>
          </w:p>
          <w:p>
            <w:pPr>
              <w:widowControl/>
              <w:jc w:val="left"/>
              <w:rPr>
                <w:rFonts w:hint="eastAsia" w:ascii="宋体" w:hAnsi="宋体" w:cs="宋体"/>
                <w:sz w:val="24"/>
                <w:lang w:bidi="ar"/>
              </w:rPr>
            </w:pPr>
            <w:r>
              <w:rPr>
                <w:rFonts w:hint="eastAsia" w:ascii="宋体" w:hAnsi="宋体" w:cs="宋体"/>
                <w:sz w:val="24"/>
                <w:lang w:bidi="ar"/>
              </w:rPr>
              <w:t>投标报价得分=（评标基准价／投标报价）×10</w:t>
            </w:r>
          </w:p>
          <w:p>
            <w:pPr>
              <w:widowControl/>
              <w:jc w:val="left"/>
              <w:rPr>
                <w:rFonts w:hint="eastAsia" w:ascii="宋体" w:hAnsi="宋体" w:cs="宋体"/>
                <w:sz w:val="24"/>
                <w:lang w:bidi="ar"/>
              </w:rPr>
            </w:pPr>
            <w:r>
              <w:rPr>
                <w:rFonts w:hint="eastAsia" w:ascii="宋体" w:hAnsi="宋体" w:cs="宋体"/>
                <w:sz w:val="24"/>
                <w:lang w:bidi="ar"/>
              </w:rPr>
              <w:t>1、小型企业、微型企业、监狱企业、残疾人福利性单位承接服务，对其价格给予10%的扣除，用扣除后的价格参与评审。满足多项优惠政策的企业，不重复享受多项价格扣除政策。</w:t>
            </w:r>
          </w:p>
          <w:p>
            <w:pPr>
              <w:widowControl/>
              <w:jc w:val="left"/>
              <w:rPr>
                <w:rFonts w:hint="eastAsia" w:ascii="宋体" w:hAnsi="宋体" w:cs="宋体"/>
                <w:sz w:val="24"/>
                <w:lang w:bidi="ar"/>
              </w:rPr>
            </w:pPr>
            <w:r>
              <w:rPr>
                <w:rFonts w:hint="eastAsia" w:ascii="宋体" w:hAnsi="宋体" w:cs="宋体"/>
                <w:sz w:val="24"/>
                <w:lang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扣除，用扣除后的价格参加评审。联合体各方均为小微企业的，价格扣除比例为10%。</w:t>
            </w:r>
          </w:p>
          <w:p>
            <w:pPr>
              <w:widowControl/>
              <w:jc w:val="left"/>
              <w:rPr>
                <w:rFonts w:hint="eastAsia" w:ascii="宋体" w:hAnsi="宋体" w:cs="宋体"/>
                <w:sz w:val="24"/>
                <w:lang w:bidi="ar"/>
              </w:rPr>
            </w:pPr>
            <w:r>
              <w:rPr>
                <w:rFonts w:hint="eastAsia" w:ascii="宋体" w:hAnsi="宋体" w:cs="宋体"/>
                <w:sz w:val="24"/>
                <w:lang w:bidi="ar"/>
              </w:rPr>
              <w:t>3、优惠主体资格的认定资料为《中小企业声明函》《残疾人福利性单位声明函》《监狱企业声明函》等承诺性质的资料；监狱企业如需享受优惠政策，除上述资料外，还须提供省级以上监狱管理局、戒毒管理局出具的监狱企业证明文件。</w:t>
            </w:r>
          </w:p>
          <w:p>
            <w:pPr>
              <w:widowControl/>
              <w:jc w:val="left"/>
              <w:rPr>
                <w:rFonts w:hint="eastAsia" w:ascii="宋体" w:hAnsi="宋体" w:cs="宋体"/>
                <w:sz w:val="24"/>
                <w:lang w:bidi="ar"/>
              </w:rPr>
            </w:pPr>
            <w:r>
              <w:rPr>
                <w:rFonts w:hint="eastAsia" w:ascii="宋体" w:hAnsi="宋体" w:cs="宋体"/>
                <w:sz w:val="24"/>
                <w:lang w:bidi="ar"/>
              </w:rPr>
              <w:t>4.关于享受对本国产品的政府采购支持政策的主体、价格扣除比例等事项的说明</w:t>
            </w:r>
          </w:p>
          <w:p>
            <w:pPr>
              <w:widowControl/>
              <w:jc w:val="left"/>
              <w:rPr>
                <w:rFonts w:hint="eastAsia" w:ascii="宋体" w:hAnsi="宋体" w:cs="宋体"/>
                <w:sz w:val="24"/>
                <w:lang w:bidi="ar"/>
              </w:rPr>
            </w:pPr>
            <w:r>
              <w:rPr>
                <w:rFonts w:hint="eastAsia" w:ascii="宋体" w:hAnsi="宋体" w:cs="宋体"/>
                <w:sz w:val="24"/>
                <w:lang w:bidi="ar"/>
              </w:rPr>
              <w:t>（1）适用主体：国有企业、民营企业、外资企业等各类经营主体平等享受对本国产品的政府采购支持政策。</w:t>
            </w:r>
          </w:p>
          <w:p>
            <w:pPr>
              <w:widowControl/>
              <w:jc w:val="left"/>
              <w:rPr>
                <w:rFonts w:hint="eastAsia" w:ascii="宋体" w:hAnsi="宋体" w:cs="宋体"/>
                <w:sz w:val="24"/>
                <w:lang w:bidi="ar"/>
              </w:rPr>
            </w:pPr>
            <w:r>
              <w:rPr>
                <w:rFonts w:hint="eastAsia" w:ascii="宋体" w:hAnsi="宋体" w:cs="宋体"/>
                <w:sz w:val="24"/>
                <w:lang w:bidi="ar"/>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idowControl/>
              <w:jc w:val="left"/>
              <w:rPr>
                <w:rFonts w:hint="eastAsia" w:ascii="宋体" w:hAnsi="宋体" w:cs="宋体"/>
                <w:sz w:val="24"/>
                <w:lang w:bidi="ar"/>
              </w:rPr>
            </w:pPr>
            <w:r>
              <w:rPr>
                <w:rFonts w:hint="eastAsia" w:ascii="宋体" w:hAnsi="宋体" w:cs="宋体"/>
                <w:sz w:val="24"/>
                <w:lang w:bidi="ar"/>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jc w:val="left"/>
              <w:rPr>
                <w:rFonts w:hint="eastAsia" w:ascii="宋体" w:hAnsi="宋体" w:cs="宋体"/>
                <w:sz w:val="24"/>
                <w:lang w:bidi="ar"/>
              </w:rPr>
            </w:pPr>
            <w:r>
              <w:rPr>
                <w:rFonts w:hint="eastAsia" w:ascii="宋体" w:hAnsi="宋体" w:cs="宋体"/>
                <w:sz w:val="24"/>
                <w:lang w:bidi="ar"/>
              </w:rPr>
              <w:t>（4）供应商出具符合要求的《关于符合本国产品标准的声明函》或财政部会同有关部门规定的有关证明文件，该产品视为本国产品。</w:t>
            </w:r>
          </w:p>
          <w:p>
            <w:pPr>
              <w:widowControl/>
              <w:jc w:val="left"/>
              <w:rPr>
                <w:rFonts w:hint="eastAsia" w:ascii="宋体" w:hAnsi="宋体" w:cs="宋体"/>
                <w:sz w:val="24"/>
                <w:lang w:bidi="ar"/>
              </w:rPr>
            </w:pPr>
            <w:r>
              <w:rPr>
                <w:rFonts w:hint="eastAsia" w:ascii="宋体" w:hAnsi="宋体" w:cs="宋体"/>
                <w:sz w:val="24"/>
                <w:lang w:bidi="ar"/>
              </w:rPr>
              <w:t>5、关于同时满足中小企业扶持政策和对本国产品的支持政策的事项说明</w:t>
            </w:r>
          </w:p>
          <w:p>
            <w:pPr>
              <w:widowControl/>
              <w:jc w:val="left"/>
              <w:rPr>
                <w:rFonts w:hint="eastAsia" w:ascii="宋体" w:hAnsi="宋体" w:cs="宋体"/>
                <w:sz w:val="24"/>
                <w:lang w:bidi="ar"/>
              </w:rPr>
            </w:pPr>
            <w:r>
              <w:rPr>
                <w:rFonts w:hint="eastAsia" w:ascii="宋体" w:hAnsi="宋体" w:cs="宋体"/>
                <w:sz w:val="24"/>
                <w:lang w:bidi="ar"/>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cs="宋体"/>
                <w:sz w:val="24"/>
                <w:lang w:eastAsia="zh-CN" w:bidi="ar"/>
              </w:rPr>
              <w:t>：</w:t>
            </w:r>
            <w:bookmarkStart w:id="50" w:name="_GoBack"/>
            <w:bookmarkEnd w:id="50"/>
            <w:r>
              <w:rPr>
                <w:rFonts w:hint="eastAsia" w:ascii="宋体" w:hAnsi="宋体" w:cs="宋体"/>
                <w:sz w:val="24"/>
                <w:lang w:bidi="ar"/>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idowControl/>
              <w:jc w:val="left"/>
              <w:rPr>
                <w:rFonts w:hint="eastAsia" w:ascii="宋体" w:hAnsi="宋体" w:cs="宋体"/>
                <w:sz w:val="24"/>
                <w:lang w:bidi="ar"/>
              </w:rPr>
            </w:pPr>
            <w:r>
              <w:rPr>
                <w:rFonts w:hint="eastAsia" w:ascii="宋体" w:hAnsi="宋体" w:cs="宋体"/>
                <w:sz w:val="24"/>
                <w:lang w:bidi="ar"/>
              </w:rPr>
              <w:t>（1）预留份额专门面向中小企业采购的项目，不再享受小微企业价格扣除优惠。若供应商所投货物同时满足对本国产品的支持政策的规定，应享受该政策20%价格扣除优惠；（2）未预留份额专门面向中小企业采购的项目，供应商同时满足小微企业和所投产品符合本国产品支持政策规定的，应同时对该供应商投标总报价给予多项价格扣除优惠，用扣除后的价格参与评审</w:t>
            </w:r>
          </w:p>
        </w:tc>
        <w:tc>
          <w:tcPr>
            <w:tcW w:w="452"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10</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5"/>
            <w:shd w:val="clear" w:color="auto" w:fill="D9D9D9"/>
            <w:noWrap w:val="0"/>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二、商务部分（</w:t>
            </w:r>
            <w:r>
              <w:rPr>
                <w:rFonts w:hint="eastAsia" w:ascii="宋体" w:hAnsi="宋体" w:cs="宋体"/>
                <w:b/>
                <w:sz w:val="24"/>
              </w:rPr>
              <w:t>50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614"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3105"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452"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分值</w:t>
            </w:r>
          </w:p>
        </w:tc>
        <w:tc>
          <w:tcPr>
            <w:tcW w:w="448"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w:t>
            </w:r>
          </w:p>
        </w:tc>
        <w:tc>
          <w:tcPr>
            <w:tcW w:w="614"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kern w:val="0"/>
                <w:sz w:val="24"/>
                <w:lang w:bidi="ar"/>
              </w:rPr>
              <w:t>同类项目业绩</w:t>
            </w:r>
          </w:p>
        </w:tc>
        <w:tc>
          <w:tcPr>
            <w:tcW w:w="3105" w:type="pct"/>
            <w:noWrap w:val="0"/>
            <w:vAlign w:val="center"/>
          </w:tcPr>
          <w:p>
            <w:pPr>
              <w:pStyle w:val="8"/>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一</w:t>
            </w:r>
            <w:r>
              <w:rPr>
                <w:rFonts w:hint="eastAsia" w:ascii="宋体" w:hAnsi="宋体" w:cs="宋体"/>
                <w:sz w:val="24"/>
                <w:lang w:val="zh-CN"/>
              </w:rPr>
              <w:t>）评审标准：</w:t>
            </w:r>
          </w:p>
          <w:p>
            <w:pPr>
              <w:spacing w:line="360" w:lineRule="auto"/>
              <w:rPr>
                <w:rFonts w:hint="eastAsia" w:ascii="宋体" w:hAnsi="宋体" w:cs="宋体"/>
                <w:sz w:val="24"/>
              </w:rPr>
            </w:pPr>
            <w:r>
              <w:rPr>
                <w:rFonts w:hint="eastAsia" w:ascii="宋体" w:hAnsi="宋体" w:cs="宋体"/>
                <w:sz w:val="24"/>
              </w:rPr>
              <w:t>具备观测观察评价模型或指标体系评测评估相关项目经验：</w:t>
            </w:r>
          </w:p>
          <w:p>
            <w:pPr>
              <w:spacing w:line="360" w:lineRule="auto"/>
              <w:rPr>
                <w:rFonts w:hint="eastAsia" w:ascii="宋体" w:hAnsi="宋体" w:cs="宋体"/>
                <w:sz w:val="24"/>
              </w:rPr>
            </w:pPr>
            <w:r>
              <w:rPr>
                <w:rFonts w:hint="eastAsia" w:ascii="宋体" w:hAnsi="宋体" w:cs="宋体"/>
                <w:sz w:val="24"/>
              </w:rPr>
              <w:t>每提供一项进行观测观察评价模型或指标体系评测评估相关研究的项目，得4分。本项累计最高得16分，不提供或者不能有效证明的，不得分。</w:t>
            </w:r>
          </w:p>
          <w:p>
            <w:pPr>
              <w:spacing w:line="360" w:lineRule="auto"/>
              <w:rPr>
                <w:rFonts w:hint="eastAsia" w:ascii="宋体" w:hAnsi="宋体" w:eastAsia="宋体" w:cs="宋体"/>
                <w:sz w:val="24"/>
                <w:lang w:eastAsia="zh-CN"/>
              </w:rPr>
            </w:pPr>
            <w:r>
              <w:rPr>
                <w:rFonts w:hint="eastAsia" w:ascii="宋体" w:hAnsi="宋体" w:cs="宋体"/>
                <w:sz w:val="24"/>
              </w:rPr>
              <w:t>注意事项：（观测观察评价模型或指标体系评测评估相关项目，指对整体指标框架体系内容（非单一指标项）和评估方法的研究经验</w:t>
            </w:r>
            <w:r>
              <w:rPr>
                <w:rFonts w:hint="eastAsia" w:ascii="宋体" w:hAnsi="宋体" w:cs="宋体"/>
                <w:sz w:val="24"/>
                <w:lang w:eastAsia="zh-CN"/>
              </w:rPr>
              <w:t>，包括评估、评价、监测</w:t>
            </w:r>
            <w:r>
              <w:rPr>
                <w:rFonts w:hint="eastAsia" w:ascii="宋体" w:hAnsi="宋体" w:cs="宋体"/>
                <w:sz w:val="24"/>
                <w:lang w:val="en-US" w:eastAsia="zh-CN"/>
              </w:rPr>
              <w:t>或</w:t>
            </w:r>
            <w:r>
              <w:rPr>
                <w:rFonts w:hint="eastAsia" w:ascii="宋体" w:hAnsi="宋体" w:cs="宋体"/>
                <w:sz w:val="24"/>
                <w:lang w:eastAsia="zh-CN"/>
              </w:rPr>
              <w:t>构建指标体系等</w:t>
            </w:r>
            <w:r>
              <w:rPr>
                <w:rFonts w:hint="eastAsia" w:ascii="宋体" w:hAnsi="宋体" w:cs="宋体"/>
                <w:sz w:val="24"/>
              </w:rPr>
              <w:t>）</w:t>
            </w:r>
            <w:r>
              <w:rPr>
                <w:rFonts w:hint="eastAsia" w:ascii="宋体" w:hAnsi="宋体" w:cs="宋体"/>
                <w:sz w:val="24"/>
                <w:lang w:eastAsia="zh-CN"/>
              </w:rPr>
              <w:t>。</w:t>
            </w:r>
          </w:p>
          <w:p>
            <w:pPr>
              <w:pStyle w:val="8"/>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二</w:t>
            </w:r>
            <w:r>
              <w:rPr>
                <w:rFonts w:hint="eastAsia" w:ascii="宋体" w:hAnsi="宋体" w:cs="宋体"/>
                <w:sz w:val="24"/>
                <w:lang w:val="zh-CN"/>
              </w:rPr>
              <w:t>）证明文件：</w:t>
            </w:r>
          </w:p>
          <w:p>
            <w:pPr>
              <w:spacing w:line="360" w:lineRule="auto"/>
              <w:rPr>
                <w:rFonts w:hint="eastAsia" w:ascii="宋体" w:hAnsi="宋体" w:cs="宋体"/>
                <w:sz w:val="24"/>
              </w:rPr>
            </w:pPr>
            <w:r>
              <w:rPr>
                <w:rFonts w:hint="eastAsia" w:ascii="宋体" w:hAnsi="宋体" w:cs="宋体"/>
                <w:sz w:val="24"/>
              </w:rPr>
              <w:t>1.供应商必须提供项目合同关键页复印件作为证明文件（包含甲乙方名称、项目名称、签订时间、盖章等），合同签订时间为2021年1月1日至投标截止时间前，原件备查。评分中出现无证明资料或专家无法凭所提供资料判断是否得分的情况，一律作不得分处理</w:t>
            </w:r>
            <w:r>
              <w:rPr>
                <w:rFonts w:hint="eastAsia" w:ascii="宋体" w:hAnsi="宋体" w:cs="宋体"/>
                <w:kern w:val="0"/>
                <w:sz w:val="24"/>
                <w:lang w:val="zh-CN"/>
              </w:rPr>
              <w:t>。</w:t>
            </w:r>
          </w:p>
          <w:p>
            <w:pPr>
              <w:pStyle w:val="8"/>
              <w:spacing w:line="360" w:lineRule="auto"/>
              <w:rPr>
                <w:rFonts w:hint="eastAsia" w:ascii="宋体" w:hAnsi="宋体" w:cs="宋体"/>
                <w:sz w:val="24"/>
                <w:lang w:val="zh-CN"/>
              </w:rPr>
            </w:pPr>
            <w:r>
              <w:rPr>
                <w:rFonts w:hint="eastAsia" w:ascii="宋体" w:hAnsi="宋体" w:cs="宋体"/>
                <w:sz w:val="24"/>
              </w:rPr>
              <w:t>2.同一项目业绩续签不重复计分。</w:t>
            </w:r>
          </w:p>
        </w:tc>
        <w:tc>
          <w:tcPr>
            <w:tcW w:w="452" w:type="pct"/>
            <w:noWrap w:val="0"/>
            <w:vAlign w:val="center"/>
          </w:tcPr>
          <w:p>
            <w:pPr>
              <w:autoSpaceDE w:val="0"/>
              <w:autoSpaceDN w:val="0"/>
              <w:adjustRightInd w:val="0"/>
              <w:jc w:val="center"/>
              <w:rPr>
                <w:rFonts w:hint="eastAsia" w:ascii="宋体" w:hAnsi="宋体" w:cs="宋体"/>
                <w:sz w:val="24"/>
              </w:rPr>
            </w:pPr>
            <w:r>
              <w:rPr>
                <w:rFonts w:hint="eastAsia" w:ascii="宋体" w:hAnsi="宋体"/>
                <w:szCs w:val="21"/>
              </w:rPr>
              <w:t>16</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2</w:t>
            </w:r>
          </w:p>
        </w:tc>
        <w:tc>
          <w:tcPr>
            <w:tcW w:w="614"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项目负责人</w:t>
            </w:r>
            <w:r>
              <w:rPr>
                <w:rFonts w:hint="eastAsia" w:ascii="宋体" w:hAnsi="宋体" w:cs="宋体"/>
                <w:sz w:val="24"/>
                <w:lang w:val="fr-CH"/>
              </w:rPr>
              <w:t>（仅限1人）</w:t>
            </w:r>
          </w:p>
        </w:tc>
        <w:tc>
          <w:tcPr>
            <w:tcW w:w="3105" w:type="pct"/>
            <w:noWrap w:val="0"/>
            <w:vAlign w:val="center"/>
          </w:tcPr>
          <w:p>
            <w:pPr>
              <w:pStyle w:val="8"/>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一</w:t>
            </w:r>
            <w:r>
              <w:rPr>
                <w:rFonts w:hint="eastAsia" w:ascii="宋体" w:hAnsi="宋体" w:cs="宋体"/>
                <w:sz w:val="24"/>
                <w:lang w:val="zh-CN"/>
              </w:rPr>
              <w:t>）评审标准：</w:t>
            </w:r>
          </w:p>
          <w:p>
            <w:pPr>
              <w:spacing w:line="360" w:lineRule="auto"/>
              <w:rPr>
                <w:rFonts w:hint="eastAsia" w:ascii="宋体" w:hAnsi="宋体" w:cs="宋体"/>
                <w:sz w:val="24"/>
              </w:rPr>
            </w:pPr>
            <w:r>
              <w:rPr>
                <w:rFonts w:hint="eastAsia" w:ascii="宋体" w:hAnsi="宋体" w:cs="宋体"/>
                <w:sz w:val="24"/>
              </w:rPr>
              <w:t>项目负责人仅限1人，需为投标人自有员工，否则本项不得分。</w:t>
            </w:r>
          </w:p>
          <w:p>
            <w:pPr>
              <w:spacing w:line="360" w:lineRule="auto"/>
              <w:rPr>
                <w:rFonts w:ascii="宋体" w:hAnsi="宋体" w:cs="宋体"/>
                <w:sz w:val="24"/>
              </w:rPr>
            </w:pPr>
            <w:r>
              <w:rPr>
                <w:rFonts w:hint="eastAsia" w:ascii="宋体" w:hAnsi="宋体" w:cs="宋体"/>
                <w:sz w:val="24"/>
              </w:rPr>
              <w:t>（1）专业和学历：项目负责人具备经济学或统计学或公共管理或相关专业背景，研究生或以上学历的，得4分；具备本科学历的，得2分。本项最高得4分。</w:t>
            </w:r>
          </w:p>
          <w:p>
            <w:pPr>
              <w:spacing w:line="360" w:lineRule="auto"/>
              <w:rPr>
                <w:rFonts w:hint="eastAsia" w:ascii="宋体" w:hAnsi="宋体" w:cs="宋体"/>
                <w:sz w:val="24"/>
              </w:rPr>
            </w:pPr>
            <w:r>
              <w:rPr>
                <w:rFonts w:hint="eastAsia" w:ascii="宋体" w:hAnsi="宋体" w:cs="宋体"/>
                <w:sz w:val="24"/>
              </w:rPr>
              <w:t>（2）项目经验：</w:t>
            </w:r>
          </w:p>
          <w:p>
            <w:pPr>
              <w:spacing w:line="360" w:lineRule="auto"/>
              <w:rPr>
                <w:rFonts w:hint="eastAsia" w:ascii="宋体" w:hAnsi="宋体" w:cs="宋体"/>
                <w:sz w:val="24"/>
              </w:rPr>
            </w:pPr>
            <w:r>
              <w:rPr>
                <w:rFonts w:hint="eastAsia" w:ascii="宋体" w:hAnsi="宋体" w:cs="宋体"/>
                <w:sz w:val="24"/>
              </w:rPr>
              <w:t>1）每提供一项进行过观测观察评价模型或指标体系评测评估相关项目经验的，得4分。（观测观察评价模型或指标体系评测评估相关项目，指对整体指标框架体系内容（非单一指标项）和评估方法的研究经验）；</w:t>
            </w:r>
          </w:p>
          <w:p>
            <w:pPr>
              <w:spacing w:line="360" w:lineRule="auto"/>
              <w:rPr>
                <w:rFonts w:hint="eastAsia" w:ascii="宋体" w:hAnsi="宋体" w:cs="宋体"/>
                <w:sz w:val="24"/>
              </w:rPr>
            </w:pPr>
            <w:r>
              <w:rPr>
                <w:rFonts w:hint="eastAsia" w:ascii="宋体" w:hAnsi="宋体" w:cs="宋体"/>
                <w:sz w:val="24"/>
              </w:rPr>
              <w:t>2）每提供一项从事过其他评价评估类型项目经验的，得2分（如包括单一指标评估的政府咨询项目。）；</w:t>
            </w:r>
          </w:p>
          <w:p>
            <w:pPr>
              <w:spacing w:line="360" w:lineRule="auto"/>
              <w:rPr>
                <w:rFonts w:hint="eastAsia" w:ascii="宋体" w:hAnsi="宋体" w:cs="宋体"/>
                <w:sz w:val="24"/>
              </w:rPr>
            </w:pPr>
            <w:r>
              <w:rPr>
                <w:rFonts w:hint="eastAsia" w:ascii="宋体" w:hAnsi="宋体" w:cs="宋体"/>
                <w:sz w:val="24"/>
              </w:rPr>
              <w:t>1）、2）项满分8分，以上累计最高得12分。同一项目业绩不重复计分。</w:t>
            </w:r>
          </w:p>
          <w:p>
            <w:pPr>
              <w:pStyle w:val="8"/>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二</w:t>
            </w:r>
            <w:r>
              <w:rPr>
                <w:rFonts w:hint="eastAsia" w:ascii="宋体" w:hAnsi="宋体" w:cs="宋体"/>
                <w:sz w:val="24"/>
                <w:lang w:val="zh-CN"/>
              </w:rPr>
              <w:t>）证明文件：</w:t>
            </w:r>
          </w:p>
          <w:p>
            <w:pPr>
              <w:spacing w:line="360" w:lineRule="auto"/>
              <w:rPr>
                <w:rFonts w:hint="eastAsia" w:ascii="宋体" w:hAnsi="宋体" w:cs="宋体"/>
                <w:sz w:val="24"/>
              </w:rPr>
            </w:pPr>
            <w:r>
              <w:rPr>
                <w:rFonts w:hint="eastAsia" w:ascii="宋体" w:hAnsi="宋体" w:cs="宋体"/>
                <w:sz w:val="24"/>
              </w:rPr>
              <w:t>1.项目负责人需提供近3个月任意一个月（2026年3月至2026年5月）在投标单位缴纳的社保证明（新成立不足1个月的投标人提供</w:t>
            </w:r>
            <w:r>
              <w:rPr>
                <w:rFonts w:hint="eastAsia" w:ascii="宋体" w:hAnsi="宋体"/>
                <w:sz w:val="24"/>
              </w:rPr>
              <w:t>加盖公章的情况说明亦可得分</w:t>
            </w:r>
            <w:r>
              <w:rPr>
                <w:rFonts w:hint="eastAsia" w:ascii="宋体" w:hAnsi="宋体" w:cs="宋体"/>
                <w:sz w:val="24"/>
              </w:rPr>
              <w:t>），本项目不接受退休返聘人员。</w:t>
            </w:r>
          </w:p>
          <w:p>
            <w:pPr>
              <w:pStyle w:val="8"/>
              <w:spacing w:line="360" w:lineRule="auto"/>
              <w:rPr>
                <w:rFonts w:hint="eastAsia" w:ascii="宋体" w:hAnsi="宋体" w:cs="宋体"/>
                <w:sz w:val="24"/>
              </w:rPr>
            </w:pPr>
            <w:r>
              <w:rPr>
                <w:rFonts w:hint="eastAsia" w:ascii="宋体" w:hAnsi="宋体" w:cs="宋体"/>
                <w:sz w:val="24"/>
              </w:rPr>
              <w:t>2.学历证明需提供毕业证书复印件及学信网查询截图，原件备查。对于较早颁发的毕业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pStyle w:val="8"/>
              <w:spacing w:line="360" w:lineRule="auto"/>
              <w:rPr>
                <w:rFonts w:ascii="宋体" w:hAnsi="宋体" w:cs="宋体"/>
                <w:sz w:val="24"/>
              </w:rPr>
            </w:pPr>
            <w:r>
              <w:rPr>
                <w:rFonts w:hint="eastAsia" w:ascii="宋体" w:hAnsi="宋体" w:cs="宋体"/>
                <w:sz w:val="24"/>
              </w:rPr>
              <w:t>3.涉及经验的，必须提供项目合同关键页复印件作为证明文件（包含甲乙方名称、项目名称、参与人员名称、签订时间、盖章等）。合同关键页若不能体现项目成员的业绩，可提供委托单位开具的书面证明。评分中出现无证明资料或专家无法凭所提供资料判断是否得分的情况，一律作不得分处理</w:t>
            </w:r>
            <w:r>
              <w:rPr>
                <w:rFonts w:hint="eastAsia" w:ascii="宋体" w:hAnsi="宋体" w:cs="宋体"/>
                <w:sz w:val="24"/>
                <w:lang w:val="zh-CN"/>
              </w:rPr>
              <w:t>。</w:t>
            </w:r>
          </w:p>
        </w:tc>
        <w:tc>
          <w:tcPr>
            <w:tcW w:w="452" w:type="pct"/>
            <w:noWrap w:val="0"/>
            <w:vAlign w:val="center"/>
          </w:tcPr>
          <w:p>
            <w:pPr>
              <w:autoSpaceDE w:val="0"/>
              <w:autoSpaceDN w:val="0"/>
              <w:adjustRightInd w:val="0"/>
              <w:jc w:val="center"/>
              <w:rPr>
                <w:rFonts w:hint="eastAsia" w:ascii="宋体" w:hAnsi="宋体" w:cs="宋体"/>
                <w:sz w:val="24"/>
              </w:rPr>
            </w:pPr>
            <w:r>
              <w:rPr>
                <w:rFonts w:hint="eastAsia" w:ascii="宋体" w:hAnsi="宋体"/>
                <w:szCs w:val="21"/>
              </w:rPr>
              <w:t>12</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3</w:t>
            </w:r>
          </w:p>
        </w:tc>
        <w:tc>
          <w:tcPr>
            <w:tcW w:w="614" w:type="pct"/>
            <w:noWrap w:val="0"/>
            <w:vAlign w:val="center"/>
          </w:tcPr>
          <w:p>
            <w:pPr>
              <w:autoSpaceDE w:val="0"/>
              <w:autoSpaceDN w:val="0"/>
              <w:adjustRightInd w:val="0"/>
              <w:spacing w:line="360" w:lineRule="auto"/>
              <w:jc w:val="center"/>
              <w:rPr>
                <w:rFonts w:hint="eastAsia" w:ascii="宋体" w:hAnsi="宋体" w:cs="宋体"/>
                <w:sz w:val="24"/>
                <w:lang w:val="sq-AL"/>
              </w:rPr>
            </w:pPr>
            <w:r>
              <w:rPr>
                <w:rFonts w:hint="eastAsia" w:ascii="宋体" w:hAnsi="宋体" w:cs="宋体"/>
                <w:sz w:val="24"/>
              </w:rPr>
              <w:t>团队成员（项目负责人除外）</w:t>
            </w:r>
          </w:p>
        </w:tc>
        <w:tc>
          <w:tcPr>
            <w:tcW w:w="3105" w:type="pct"/>
            <w:noWrap w:val="0"/>
            <w:vAlign w:val="center"/>
          </w:tcPr>
          <w:p>
            <w:pPr>
              <w:pStyle w:val="8"/>
              <w:spacing w:line="360" w:lineRule="auto"/>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一</w:t>
            </w:r>
            <w:r>
              <w:rPr>
                <w:rFonts w:hint="eastAsia" w:ascii="宋体" w:hAnsi="宋体" w:cs="宋体"/>
                <w:sz w:val="24"/>
                <w:lang w:val="zh-CN"/>
              </w:rPr>
              <w:t>）评审标准：</w:t>
            </w:r>
          </w:p>
          <w:p>
            <w:pPr>
              <w:spacing w:line="360" w:lineRule="auto"/>
              <w:rPr>
                <w:rFonts w:ascii="宋体" w:hAnsi="宋体" w:cs="宋体"/>
                <w:sz w:val="24"/>
              </w:rPr>
            </w:pPr>
            <w:r>
              <w:rPr>
                <w:rFonts w:hint="eastAsia" w:ascii="宋体" w:hAnsi="宋体" w:cs="宋体"/>
                <w:sz w:val="24"/>
              </w:rPr>
              <w:t>团队成员不少于5人，且团队成员需为本单位人员，否则在本项不得分，在此基础上：</w:t>
            </w:r>
          </w:p>
          <w:p>
            <w:pPr>
              <w:spacing w:line="360" w:lineRule="auto"/>
              <w:rPr>
                <w:rFonts w:ascii="宋体" w:hAnsi="宋体" w:cs="宋体"/>
                <w:sz w:val="24"/>
              </w:rPr>
            </w:pPr>
            <w:r>
              <w:rPr>
                <w:rFonts w:hint="eastAsia" w:ascii="宋体" w:hAnsi="宋体" w:cs="宋体"/>
                <w:sz w:val="24"/>
              </w:rPr>
              <w:t>（1）专业和学历：项目成员具备经济学或统计学或公共管理或相关专业背景，研究生或以上学历的，每提供一人得1分；具备本科学历的，每提供一人得0.5分；本项最高得5分。</w:t>
            </w:r>
          </w:p>
          <w:p>
            <w:pPr>
              <w:spacing w:line="360" w:lineRule="auto"/>
              <w:rPr>
                <w:rFonts w:hint="eastAsia" w:ascii="宋体" w:hAnsi="宋体" w:cs="宋体"/>
                <w:sz w:val="24"/>
              </w:rPr>
            </w:pPr>
            <w:r>
              <w:rPr>
                <w:rFonts w:hint="eastAsia" w:ascii="宋体" w:hAnsi="宋体" w:cs="宋体"/>
                <w:sz w:val="24"/>
              </w:rPr>
              <w:t>（2）项目经验：</w:t>
            </w:r>
          </w:p>
          <w:p>
            <w:pPr>
              <w:spacing w:line="360" w:lineRule="auto"/>
              <w:rPr>
                <w:rFonts w:hint="eastAsia" w:ascii="宋体" w:hAnsi="宋体" w:cs="宋体"/>
                <w:sz w:val="24"/>
              </w:rPr>
            </w:pPr>
            <w:r>
              <w:rPr>
                <w:rFonts w:hint="eastAsia" w:ascii="宋体" w:hAnsi="宋体" w:cs="宋体"/>
                <w:sz w:val="24"/>
              </w:rPr>
              <w:t>1）每提供一项进行过观测观察评价模型或指标体系评测评估相关项目经验的，得2分。（观测观察评价模型或指标体系评测评估相关项目，指对整体指标框架体系内容（非单一指标项）和评估方法的研究经验</w:t>
            </w:r>
            <w:r>
              <w:rPr>
                <w:rFonts w:hint="eastAsia" w:ascii="宋体" w:hAnsi="宋体" w:cs="宋体"/>
                <w:sz w:val="24"/>
                <w:lang w:eastAsia="zh-CN"/>
              </w:rPr>
              <w:t>，包括评估、评价、监测或构建指标体系等</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2）每提供一项从事过其他评价评估类型项目经验的，得</w:t>
            </w:r>
            <w:r>
              <w:rPr>
                <w:rFonts w:ascii="宋体" w:hAnsi="宋体" w:cs="宋体"/>
                <w:sz w:val="24"/>
              </w:rPr>
              <w:t>1</w:t>
            </w:r>
            <w:r>
              <w:rPr>
                <w:rFonts w:hint="eastAsia" w:ascii="宋体" w:hAnsi="宋体" w:cs="宋体"/>
                <w:sz w:val="24"/>
              </w:rPr>
              <w:t>分（如包括单一指标评估的政府咨询项目。）；</w:t>
            </w:r>
          </w:p>
          <w:p>
            <w:pPr>
              <w:spacing w:line="360" w:lineRule="auto"/>
              <w:rPr>
                <w:rFonts w:hint="eastAsia" w:ascii="宋体" w:hAnsi="宋体" w:cs="宋体"/>
                <w:sz w:val="24"/>
              </w:rPr>
            </w:pPr>
            <w:r>
              <w:rPr>
                <w:rFonts w:hint="eastAsia" w:ascii="宋体" w:hAnsi="宋体" w:cs="宋体"/>
                <w:sz w:val="24"/>
              </w:rPr>
              <w:t>1）、2）项满分12分，以上累计最高得17分。最高不超过17分。</w:t>
            </w:r>
          </w:p>
          <w:p>
            <w:pPr>
              <w:spacing w:line="360" w:lineRule="auto"/>
              <w:rPr>
                <w:rFonts w:ascii="宋体" w:hAnsi="宋体" w:cs="宋体"/>
                <w:sz w:val="24"/>
              </w:rPr>
            </w:pPr>
            <w:r>
              <w:rPr>
                <w:rFonts w:hint="eastAsia" w:ascii="宋体" w:hAnsi="宋体" w:cs="宋体"/>
                <w:sz w:val="24"/>
              </w:rPr>
              <w:t>注：同一项目业绩续签不重复计分。同一项目多人参与可重复计分，同一人具备同一类型的多个项目不可重复计分。若同一人既有具备观测观察评价模型或指标体系评测评估相关项目经验和具备其他评价评估类型项目经验则可同时得分。</w:t>
            </w:r>
          </w:p>
          <w:p>
            <w:pPr>
              <w:pStyle w:val="8"/>
              <w:rPr>
                <w:rFonts w:hint="eastAsia" w:ascii="宋体" w:hAnsi="宋体" w:cs="宋体"/>
                <w:sz w:val="24"/>
              </w:rPr>
            </w:pPr>
            <w:r>
              <w:rPr>
                <w:rFonts w:hint="eastAsia" w:ascii="宋体" w:hAnsi="宋体" w:cs="宋体"/>
                <w:sz w:val="24"/>
                <w:lang w:val="zh-CN"/>
              </w:rPr>
              <w:t>（</w:t>
            </w:r>
            <w:r>
              <w:rPr>
                <w:rFonts w:hint="eastAsia" w:ascii="宋体" w:hAnsi="宋体" w:cs="宋体"/>
                <w:sz w:val="24"/>
              </w:rPr>
              <w:t>二</w:t>
            </w:r>
            <w:r>
              <w:rPr>
                <w:rFonts w:hint="eastAsia" w:ascii="宋体" w:hAnsi="宋体" w:cs="宋体"/>
                <w:sz w:val="24"/>
                <w:lang w:val="zh-CN"/>
              </w:rPr>
              <w:t>）证明文件：</w:t>
            </w:r>
          </w:p>
          <w:p>
            <w:pPr>
              <w:pStyle w:val="8"/>
              <w:spacing w:line="360" w:lineRule="auto"/>
              <w:rPr>
                <w:rFonts w:hint="eastAsia" w:ascii="宋体" w:hAnsi="宋体" w:cs="宋体"/>
                <w:sz w:val="24"/>
              </w:rPr>
            </w:pPr>
            <w:r>
              <w:rPr>
                <w:rFonts w:hint="eastAsia" w:ascii="宋体" w:hAnsi="宋体" w:cs="宋体"/>
                <w:sz w:val="24"/>
              </w:rPr>
              <w:t>1.团队成员需提供近3个月内任意一个月（2026年3月至2026年5月）在投标单位缴纳的社保证明（新成立不足一个月的投标人提供</w:t>
            </w:r>
            <w:r>
              <w:rPr>
                <w:rFonts w:hint="eastAsia" w:ascii="宋体" w:hAnsi="宋体"/>
                <w:sz w:val="24"/>
              </w:rPr>
              <w:t>加盖公章的情况说明亦可得分</w:t>
            </w:r>
            <w:r>
              <w:rPr>
                <w:rFonts w:hint="eastAsia" w:ascii="宋体" w:hAnsi="宋体" w:cs="宋体"/>
                <w:sz w:val="24"/>
              </w:rPr>
              <w:t>），本项目不接受退休返聘人员。</w:t>
            </w:r>
          </w:p>
          <w:p>
            <w:pPr>
              <w:pStyle w:val="8"/>
              <w:spacing w:line="360" w:lineRule="auto"/>
              <w:rPr>
                <w:rFonts w:hint="eastAsia" w:ascii="宋体" w:hAnsi="宋体" w:cs="宋体"/>
                <w:sz w:val="24"/>
              </w:rPr>
            </w:pPr>
            <w:r>
              <w:rPr>
                <w:rFonts w:hint="eastAsia" w:ascii="宋体" w:hAnsi="宋体" w:cs="宋体"/>
                <w:sz w:val="24"/>
              </w:rPr>
              <w:t>2.学历证明需提供毕业证书复印件及学信网查询截图，原件备查。对于较早颁发的毕业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pStyle w:val="8"/>
              <w:spacing w:line="360" w:lineRule="auto"/>
              <w:rPr>
                <w:rFonts w:hint="eastAsia" w:ascii="宋体" w:hAnsi="宋体" w:cs="宋体"/>
                <w:sz w:val="24"/>
              </w:rPr>
            </w:pPr>
            <w:r>
              <w:rPr>
                <w:rFonts w:hint="eastAsia" w:ascii="宋体" w:hAnsi="宋体" w:cs="宋体"/>
                <w:sz w:val="24"/>
              </w:rPr>
              <w:t>3.涉及经验的，必须提供项目合同关键页复印件作为证明文件（包含甲乙方名称、项目名称、参与人员名称、签订时间、盖章等）。合同关键页若不能体现项目成员的业绩，可提供委托单位开具的书面证明。评分中出现无证明资料或专家无法凭所提供资料判断是否得分的情况，一律作不得分处理</w:t>
            </w:r>
            <w:r>
              <w:rPr>
                <w:rFonts w:hint="eastAsia" w:ascii="宋体" w:hAnsi="宋体" w:cs="宋体"/>
                <w:sz w:val="24"/>
                <w:lang w:val="zh-CN"/>
              </w:rPr>
              <w:t>。</w:t>
            </w:r>
          </w:p>
        </w:tc>
        <w:tc>
          <w:tcPr>
            <w:tcW w:w="452" w:type="pct"/>
            <w:noWrap w:val="0"/>
            <w:vAlign w:val="center"/>
          </w:tcPr>
          <w:p>
            <w:pPr>
              <w:autoSpaceDE w:val="0"/>
              <w:autoSpaceDN w:val="0"/>
              <w:adjustRightInd w:val="0"/>
              <w:jc w:val="center"/>
              <w:rPr>
                <w:rFonts w:hint="eastAsia" w:ascii="宋体" w:hAnsi="宋体" w:cs="宋体"/>
                <w:sz w:val="24"/>
              </w:rPr>
            </w:pPr>
            <w:r>
              <w:rPr>
                <w:rFonts w:hint="eastAsia" w:ascii="宋体" w:hAnsi="宋体"/>
                <w:szCs w:val="21"/>
              </w:rPr>
              <w:t>17</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614" w:type="pct"/>
            <w:noWrap w:val="0"/>
            <w:vAlign w:val="center"/>
          </w:tcPr>
          <w:p>
            <w:pPr>
              <w:autoSpaceDE w:val="0"/>
              <w:autoSpaceDN w:val="0"/>
              <w:adjustRightInd w:val="0"/>
              <w:spacing w:line="360" w:lineRule="auto"/>
              <w:jc w:val="center"/>
              <w:rPr>
                <w:rFonts w:hint="eastAsia" w:ascii="宋体" w:hAnsi="宋体" w:cs="宋体"/>
                <w:sz w:val="24"/>
                <w:lang w:val="sq-AL"/>
              </w:rPr>
            </w:pPr>
            <w:r>
              <w:rPr>
                <w:rFonts w:hint="eastAsia" w:ascii="宋体" w:hAnsi="宋体" w:cs="宋体"/>
                <w:sz w:val="24"/>
                <w:lang w:val="zh-CN"/>
              </w:rPr>
              <w:t>诚信</w:t>
            </w:r>
          </w:p>
        </w:tc>
        <w:tc>
          <w:tcPr>
            <w:tcW w:w="3105" w:type="pct"/>
            <w:noWrap w:val="0"/>
            <w:vAlign w:val="center"/>
          </w:tcPr>
          <w:p>
            <w:pPr>
              <w:wordWrap w:val="0"/>
              <w:spacing w:line="360" w:lineRule="auto"/>
              <w:rPr>
                <w:rFonts w:hint="eastAsia" w:ascii="宋体" w:hAnsi="宋体" w:cs="宋体"/>
                <w:sz w:val="24"/>
              </w:rPr>
            </w:pPr>
            <w:r>
              <w:rPr>
                <w:rFonts w:hint="eastAsia" w:ascii="宋体" w:hAnsi="宋体" w:cs="宋体"/>
                <w:sz w:val="24"/>
              </w:rPr>
              <w:t>（一）评审内容：</w:t>
            </w:r>
          </w:p>
          <w:p>
            <w:pPr>
              <w:wordWrap w:val="0"/>
              <w:spacing w:line="360" w:lineRule="auto"/>
              <w:rPr>
                <w:rFonts w:hint="eastAsia" w:ascii="宋体" w:hAnsi="宋体" w:cs="宋体"/>
                <w:sz w:val="24"/>
              </w:rPr>
            </w:pPr>
            <w:r>
              <w:rPr>
                <w:rFonts w:hint="eastAsia" w:ascii="宋体" w:hAnsi="宋体" w:cs="宋体"/>
                <w:sz w:val="24"/>
              </w:rPr>
              <w:t>供应商存在《深圳市财政局政府采购供应商信用信息管理办法》（深财规〔2023〕3号）列明的一般行政处罚信息、一般违法失信记录信息的，本项不得分，不存在上述情形的本项得5分。供应商无需提供任何证明材料，评标过程中由工作人员向评审委员会提供有关供应商诚信查询结果。</w:t>
            </w:r>
          </w:p>
          <w:p>
            <w:pPr>
              <w:wordWrap w:val="0"/>
              <w:spacing w:line="360" w:lineRule="auto"/>
              <w:rPr>
                <w:rFonts w:hint="eastAsia" w:ascii="宋体" w:hAnsi="宋体" w:cs="宋体"/>
                <w:sz w:val="24"/>
              </w:rPr>
            </w:pPr>
            <w:r>
              <w:rPr>
                <w:rFonts w:hint="eastAsia" w:ascii="宋体" w:hAnsi="宋体" w:cs="宋体"/>
                <w:sz w:val="24"/>
              </w:rPr>
              <w:t>（二）评分标准：</w:t>
            </w:r>
          </w:p>
          <w:p>
            <w:pPr>
              <w:wordWrap w:val="0"/>
              <w:spacing w:line="360" w:lineRule="auto"/>
              <w:rPr>
                <w:rFonts w:hint="eastAsia" w:ascii="宋体" w:hAnsi="宋体" w:cs="宋体"/>
                <w:sz w:val="24"/>
              </w:rPr>
            </w:pPr>
            <w:r>
              <w:rPr>
                <w:rFonts w:hint="eastAsia" w:ascii="宋体" w:hAnsi="宋体" w:cs="宋体"/>
                <w:sz w:val="24"/>
              </w:rPr>
              <w:t>查询渠道：通过“信用中国”（www.creditchina.gov.cn，下载信用信息报告）、“中国政府采购网”（www.ccgp.gov.cn）以及“深圳市政府采购监管网”（http://zfcg.sz.gov.cn）查询供应商信用信息，信用信息以开标当日的查询结果为准。</w:t>
            </w:r>
          </w:p>
        </w:tc>
        <w:tc>
          <w:tcPr>
            <w:tcW w:w="452" w:type="pct"/>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5"/>
            <w:shd w:val="clear" w:color="auto" w:fill="D9D9D9"/>
            <w:noWrap w:val="0"/>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三、技术部分（</w:t>
            </w:r>
            <w:r>
              <w:rPr>
                <w:rFonts w:hint="eastAsia" w:ascii="宋体" w:hAnsi="宋体" w:cs="宋体"/>
                <w:b/>
                <w:sz w:val="24"/>
              </w:rPr>
              <w:t>40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614"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3105"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评分规则</w:t>
            </w:r>
          </w:p>
        </w:tc>
        <w:tc>
          <w:tcPr>
            <w:tcW w:w="452"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614"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对项目的整体理解</w:t>
            </w:r>
          </w:p>
        </w:tc>
        <w:tc>
          <w:tcPr>
            <w:tcW w:w="3105" w:type="pct"/>
            <w:noWrap w:val="0"/>
            <w:vAlign w:val="center"/>
          </w:tcPr>
          <w:p>
            <w:pPr>
              <w:wordWrap w:val="0"/>
              <w:spacing w:line="360" w:lineRule="auto"/>
              <w:rPr>
                <w:rFonts w:hint="eastAsia" w:ascii="宋体" w:hAnsi="宋体" w:cs="宋体"/>
                <w:sz w:val="24"/>
                <w:lang w:val="zh-CN"/>
              </w:rPr>
            </w:pPr>
            <w:r>
              <w:rPr>
                <w:rFonts w:hint="eastAsia" w:ascii="宋体" w:hAnsi="宋体" w:cs="宋体"/>
                <w:sz w:val="24"/>
                <w:lang w:val="zh-CN"/>
              </w:rPr>
              <w:t>（一）评审内容：</w:t>
            </w:r>
          </w:p>
          <w:p>
            <w:pPr>
              <w:wordWrap w:val="0"/>
              <w:spacing w:line="360" w:lineRule="auto"/>
              <w:rPr>
                <w:rFonts w:hint="eastAsia" w:ascii="宋体" w:hAnsi="宋体" w:cs="宋体"/>
                <w:sz w:val="24"/>
              </w:rPr>
            </w:pPr>
            <w:r>
              <w:rPr>
                <w:rFonts w:hint="eastAsia" w:ascii="宋体" w:hAnsi="宋体" w:cs="宋体"/>
                <w:sz w:val="24"/>
              </w:rPr>
              <w:t>考察对项目需求、研究目的、研究内容是否有完整的理解，进行综合比较。包含但不限于以下内容：</w:t>
            </w:r>
          </w:p>
          <w:p>
            <w:pPr>
              <w:wordWrap w:val="0"/>
              <w:spacing w:line="360" w:lineRule="auto"/>
              <w:rPr>
                <w:rFonts w:hint="eastAsia" w:ascii="宋体" w:hAnsi="宋体" w:cs="宋体"/>
                <w:sz w:val="24"/>
              </w:rPr>
            </w:pPr>
            <w:r>
              <w:rPr>
                <w:rFonts w:hint="eastAsia" w:ascii="宋体" w:hAnsi="宋体" w:cs="宋体"/>
                <w:sz w:val="24"/>
              </w:rPr>
              <w:t>1.对背景的理解；</w:t>
            </w:r>
          </w:p>
          <w:p>
            <w:pPr>
              <w:wordWrap w:val="0"/>
              <w:spacing w:line="360" w:lineRule="auto"/>
              <w:rPr>
                <w:rFonts w:hint="eastAsia" w:ascii="宋体" w:hAnsi="宋体" w:cs="宋体"/>
                <w:sz w:val="24"/>
              </w:rPr>
            </w:pPr>
            <w:r>
              <w:rPr>
                <w:rFonts w:hint="eastAsia" w:ascii="宋体" w:hAnsi="宋体" w:cs="宋体"/>
                <w:sz w:val="24"/>
              </w:rPr>
              <w:t>2.对项目需求及目的解读；</w:t>
            </w:r>
          </w:p>
          <w:p>
            <w:pPr>
              <w:wordWrap w:val="0"/>
              <w:spacing w:line="360" w:lineRule="auto"/>
              <w:rPr>
                <w:rFonts w:hint="eastAsia" w:ascii="宋体" w:hAnsi="宋体" w:cs="宋体"/>
                <w:sz w:val="24"/>
              </w:rPr>
            </w:pPr>
            <w:r>
              <w:rPr>
                <w:rFonts w:hint="eastAsia" w:ascii="宋体" w:hAnsi="宋体" w:cs="宋体"/>
                <w:sz w:val="24"/>
              </w:rPr>
              <w:t>3.对研究内容整体解读。</w:t>
            </w:r>
          </w:p>
          <w:p>
            <w:pPr>
              <w:wordWrap w:val="0"/>
              <w:spacing w:line="360" w:lineRule="auto"/>
              <w:rPr>
                <w:rFonts w:hint="eastAsia" w:ascii="宋体" w:hAnsi="宋体" w:cs="宋体"/>
                <w:sz w:val="24"/>
                <w:lang w:val="zh-CN"/>
              </w:rPr>
            </w:pPr>
            <w:r>
              <w:rPr>
                <w:rFonts w:hint="eastAsia" w:ascii="宋体" w:hAnsi="宋体" w:cs="宋体"/>
                <w:sz w:val="24"/>
                <w:lang w:val="zh-CN"/>
              </w:rPr>
              <w:t>（二）评审标准：</w:t>
            </w:r>
          </w:p>
          <w:p>
            <w:pPr>
              <w:wordWrap w:val="0"/>
              <w:spacing w:line="360" w:lineRule="auto"/>
              <w:rPr>
                <w:rFonts w:hint="eastAsia" w:ascii="宋体" w:hAnsi="宋体" w:cs="宋体"/>
                <w:sz w:val="24"/>
              </w:rPr>
            </w:pPr>
            <w:r>
              <w:rPr>
                <w:rFonts w:hint="eastAsia" w:ascii="宋体" w:hAnsi="宋体" w:cs="宋体"/>
                <w:sz w:val="24"/>
              </w:rPr>
              <w:t>满足以上三项内容得7分，满足任意两项内容得5分，满足任意一项内容得2分；在此基础上，对投标人响应情况进行分档评分：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1.优评分标准：理解准确到位，概括性强。</w:t>
            </w:r>
          </w:p>
          <w:p>
            <w:pPr>
              <w:wordWrap w:val="0"/>
              <w:spacing w:line="360" w:lineRule="auto"/>
              <w:rPr>
                <w:rFonts w:hint="eastAsia" w:ascii="宋体" w:hAnsi="宋体" w:cs="宋体"/>
                <w:sz w:val="24"/>
              </w:rPr>
            </w:pPr>
            <w:r>
              <w:rPr>
                <w:rFonts w:hint="eastAsia" w:ascii="宋体" w:hAnsi="宋体" w:cs="宋体"/>
                <w:sz w:val="24"/>
              </w:rPr>
              <w:t>2.良评分标准：理解到位，具有一定概括性。</w:t>
            </w:r>
          </w:p>
          <w:p>
            <w:pPr>
              <w:wordWrap w:val="0"/>
              <w:spacing w:line="360" w:lineRule="auto"/>
              <w:rPr>
                <w:rFonts w:hint="eastAsia" w:ascii="宋体" w:hAnsi="宋体" w:cs="宋体"/>
                <w:sz w:val="24"/>
              </w:rPr>
            </w:pPr>
            <w:r>
              <w:rPr>
                <w:rFonts w:hint="eastAsia" w:ascii="宋体" w:hAnsi="宋体" w:cs="宋体"/>
                <w:sz w:val="24"/>
              </w:rPr>
              <w:t>3.中评分标准：理解有缺漏但基本到位，概括性低。</w:t>
            </w:r>
          </w:p>
          <w:p>
            <w:pPr>
              <w:wordWrap w:val="0"/>
              <w:spacing w:line="360" w:lineRule="auto"/>
              <w:rPr>
                <w:rFonts w:hint="eastAsia" w:ascii="宋体" w:hAnsi="宋体" w:cs="宋体"/>
                <w:sz w:val="24"/>
              </w:rPr>
            </w:pPr>
            <w:r>
              <w:rPr>
                <w:rFonts w:hint="eastAsia" w:ascii="宋体" w:hAnsi="宋体" w:cs="宋体"/>
                <w:sz w:val="24"/>
              </w:rPr>
              <w:t>4.差评分标准：理解有严重缺漏，无概括性。</w:t>
            </w:r>
          </w:p>
          <w:p>
            <w:pPr>
              <w:wordWrap w:val="0"/>
              <w:spacing w:line="360" w:lineRule="auto"/>
              <w:rPr>
                <w:rFonts w:hint="eastAsia" w:ascii="宋体" w:hAnsi="宋体" w:cs="宋体"/>
                <w:sz w:val="24"/>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文件比较，评价为优</w:t>
            </w:r>
            <w:r>
              <w:rPr>
                <w:rFonts w:hint="eastAsia" w:ascii="宋体" w:hAnsi="宋体" w:cs="宋体"/>
                <w:sz w:val="24"/>
              </w:rPr>
              <w:t>加3</w:t>
            </w:r>
            <w:r>
              <w:rPr>
                <w:rFonts w:hint="eastAsia" w:ascii="宋体" w:hAnsi="宋体" w:cs="宋体"/>
                <w:sz w:val="24"/>
                <w:lang w:val="zh-CN"/>
              </w:rPr>
              <w:t>分；评价为良</w:t>
            </w:r>
            <w:r>
              <w:rPr>
                <w:rFonts w:hint="eastAsia" w:ascii="宋体" w:hAnsi="宋体" w:cs="宋体"/>
                <w:sz w:val="24"/>
              </w:rPr>
              <w:t>加2</w:t>
            </w:r>
            <w:r>
              <w:rPr>
                <w:rFonts w:hint="eastAsia" w:ascii="宋体" w:hAnsi="宋体" w:cs="宋体"/>
                <w:sz w:val="24"/>
                <w:lang w:val="zh-CN"/>
              </w:rPr>
              <w:t>分；评价为中</w:t>
            </w:r>
            <w:r>
              <w:rPr>
                <w:rFonts w:hint="eastAsia" w:ascii="宋体" w:hAnsi="宋体" w:cs="宋体"/>
                <w:sz w:val="24"/>
              </w:rPr>
              <w:t>加1</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rPr>
              <w:t>差</w:t>
            </w:r>
            <w:r>
              <w:rPr>
                <w:rFonts w:hint="eastAsia" w:ascii="宋体" w:hAnsi="宋体" w:cs="宋体"/>
                <w:sz w:val="24"/>
                <w:lang w:val="zh-CN"/>
              </w:rPr>
              <w:t>，要求专家书面说明理由，并记录在档。</w:t>
            </w:r>
          </w:p>
        </w:tc>
        <w:tc>
          <w:tcPr>
            <w:tcW w:w="452" w:type="pct"/>
            <w:noWrap w:val="0"/>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10</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614"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项目重点难点分析、应对措施及相关的合理化建议</w:t>
            </w:r>
          </w:p>
        </w:tc>
        <w:tc>
          <w:tcPr>
            <w:tcW w:w="3105" w:type="pct"/>
            <w:noWrap w:val="0"/>
            <w:vAlign w:val="center"/>
          </w:tcPr>
          <w:p>
            <w:pPr>
              <w:wordWrap w:val="0"/>
              <w:spacing w:line="360" w:lineRule="auto"/>
              <w:rPr>
                <w:rFonts w:hint="eastAsia" w:ascii="宋体" w:hAnsi="宋体" w:cs="宋体"/>
                <w:sz w:val="24"/>
              </w:rPr>
            </w:pPr>
            <w:r>
              <w:rPr>
                <w:rFonts w:hint="eastAsia" w:ascii="宋体" w:hAnsi="宋体" w:cs="宋体"/>
                <w:sz w:val="24"/>
              </w:rPr>
              <w:t>考察对项目重点难点分析，应对措施及相关的合理化建议情况，进行综合比较。包含但不限于以下内容：</w:t>
            </w:r>
          </w:p>
          <w:p>
            <w:pPr>
              <w:wordWrap w:val="0"/>
              <w:spacing w:line="360" w:lineRule="auto"/>
              <w:rPr>
                <w:rFonts w:hint="eastAsia" w:ascii="宋体" w:hAnsi="宋体" w:cs="宋体"/>
                <w:sz w:val="24"/>
              </w:rPr>
            </w:pPr>
            <w:r>
              <w:rPr>
                <w:rFonts w:hint="eastAsia" w:ascii="宋体" w:hAnsi="宋体" w:cs="宋体"/>
                <w:sz w:val="24"/>
              </w:rPr>
              <w:t>1.分析项目难点、重点情况；</w:t>
            </w:r>
          </w:p>
          <w:p>
            <w:pPr>
              <w:wordWrap w:val="0"/>
              <w:spacing w:line="360" w:lineRule="auto"/>
              <w:rPr>
                <w:rFonts w:hint="eastAsia" w:ascii="宋体" w:hAnsi="宋体" w:cs="宋体"/>
                <w:sz w:val="24"/>
              </w:rPr>
            </w:pPr>
            <w:r>
              <w:rPr>
                <w:rFonts w:hint="eastAsia" w:ascii="宋体" w:hAnsi="宋体" w:cs="宋体"/>
                <w:sz w:val="24"/>
              </w:rPr>
              <w:t>2.提出应对措施；</w:t>
            </w:r>
          </w:p>
          <w:p>
            <w:pPr>
              <w:wordWrap w:val="0"/>
              <w:spacing w:line="360" w:lineRule="auto"/>
              <w:rPr>
                <w:rFonts w:hint="eastAsia" w:ascii="宋体" w:hAnsi="宋体" w:cs="宋体"/>
                <w:sz w:val="24"/>
              </w:rPr>
            </w:pPr>
            <w:r>
              <w:rPr>
                <w:rFonts w:hint="eastAsia" w:ascii="宋体" w:hAnsi="宋体" w:cs="宋体"/>
                <w:sz w:val="24"/>
              </w:rPr>
              <w:t>3.对项目进行合理化建议；</w:t>
            </w:r>
          </w:p>
          <w:p>
            <w:pPr>
              <w:wordWrap w:val="0"/>
              <w:spacing w:line="360" w:lineRule="auto"/>
              <w:rPr>
                <w:rFonts w:hint="eastAsia" w:ascii="宋体" w:hAnsi="宋体" w:cs="宋体"/>
                <w:sz w:val="24"/>
              </w:rPr>
            </w:pPr>
            <w:r>
              <w:rPr>
                <w:rFonts w:hint="eastAsia" w:ascii="宋体" w:hAnsi="宋体" w:cs="宋体"/>
                <w:sz w:val="24"/>
              </w:rPr>
              <w:t>满足以上三项内容得7分，满足任意两项内容得5分，满足任意一项内容得2分；在此基础上，对投标人响应情况进行分档评分：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1.优评分标准：分析准确到位，措施合理，建议可操作性强。</w:t>
            </w:r>
          </w:p>
          <w:p>
            <w:pPr>
              <w:wordWrap w:val="0"/>
              <w:spacing w:line="360" w:lineRule="auto"/>
              <w:rPr>
                <w:rFonts w:hint="eastAsia" w:ascii="宋体" w:hAnsi="宋体" w:cs="宋体"/>
                <w:sz w:val="24"/>
              </w:rPr>
            </w:pPr>
            <w:r>
              <w:rPr>
                <w:rFonts w:hint="eastAsia" w:ascii="宋体" w:hAnsi="宋体" w:cs="宋体"/>
                <w:sz w:val="24"/>
              </w:rPr>
              <w:t>2.良评分标准：分析到位，措施比较合理，建议可操作性较强。</w:t>
            </w:r>
          </w:p>
          <w:p>
            <w:pPr>
              <w:wordWrap w:val="0"/>
              <w:spacing w:line="360" w:lineRule="auto"/>
              <w:rPr>
                <w:rFonts w:hint="eastAsia" w:ascii="宋体" w:hAnsi="宋体" w:cs="宋体"/>
                <w:sz w:val="24"/>
              </w:rPr>
            </w:pPr>
            <w:r>
              <w:rPr>
                <w:rFonts w:hint="eastAsia" w:ascii="宋体" w:hAnsi="宋体" w:cs="宋体"/>
                <w:sz w:val="24"/>
              </w:rPr>
              <w:t>3.中评分标准：分析基本到位，措施基本合理，建议可操作性一般。</w:t>
            </w:r>
          </w:p>
          <w:p>
            <w:pPr>
              <w:wordWrap w:val="0"/>
              <w:spacing w:line="360" w:lineRule="auto"/>
              <w:rPr>
                <w:rFonts w:hint="eastAsia" w:ascii="宋体" w:hAnsi="宋体" w:cs="宋体"/>
                <w:sz w:val="24"/>
              </w:rPr>
            </w:pPr>
            <w:r>
              <w:rPr>
                <w:rFonts w:hint="eastAsia" w:ascii="宋体" w:hAnsi="宋体" w:cs="宋体"/>
                <w:sz w:val="24"/>
              </w:rPr>
              <w:t>4.差评分标准：分析有严重缺漏，措施不合理，建议可操作性差。</w:t>
            </w:r>
          </w:p>
          <w:p>
            <w:pPr>
              <w:wordWrap w:val="0"/>
              <w:spacing w:line="360" w:lineRule="auto"/>
              <w:rPr>
                <w:rFonts w:hint="eastAsia" w:ascii="宋体" w:hAnsi="宋体" w:cs="宋体"/>
                <w:sz w:val="24"/>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w:t>
            </w:r>
            <w:r>
              <w:rPr>
                <w:rFonts w:hint="eastAsia" w:ascii="宋体" w:hAnsi="宋体" w:cs="宋体"/>
                <w:sz w:val="24"/>
              </w:rPr>
              <w:t>内容</w:t>
            </w:r>
            <w:r>
              <w:rPr>
                <w:rFonts w:hint="eastAsia" w:ascii="宋体" w:hAnsi="宋体" w:cs="宋体"/>
                <w:sz w:val="24"/>
                <w:lang w:val="zh-CN"/>
              </w:rPr>
              <w:t>，评价为优</w:t>
            </w:r>
            <w:r>
              <w:rPr>
                <w:rFonts w:hint="eastAsia" w:ascii="宋体" w:hAnsi="宋体" w:cs="宋体"/>
                <w:sz w:val="24"/>
              </w:rPr>
              <w:t>加5</w:t>
            </w:r>
            <w:r>
              <w:rPr>
                <w:rFonts w:hint="eastAsia" w:ascii="宋体" w:hAnsi="宋体" w:cs="宋体"/>
                <w:sz w:val="24"/>
                <w:lang w:val="zh-CN"/>
              </w:rPr>
              <w:t>分；评价为良</w:t>
            </w:r>
            <w:r>
              <w:rPr>
                <w:rFonts w:hint="eastAsia" w:ascii="宋体" w:hAnsi="宋体" w:cs="宋体"/>
                <w:sz w:val="24"/>
              </w:rPr>
              <w:t>加3</w:t>
            </w:r>
            <w:r>
              <w:rPr>
                <w:rFonts w:hint="eastAsia" w:ascii="宋体" w:hAnsi="宋体" w:cs="宋体"/>
                <w:sz w:val="24"/>
                <w:lang w:val="zh-CN"/>
              </w:rPr>
              <w:t>分；评价为中</w:t>
            </w:r>
            <w:r>
              <w:rPr>
                <w:rFonts w:hint="eastAsia" w:ascii="宋体" w:hAnsi="宋体" w:cs="宋体"/>
                <w:sz w:val="24"/>
              </w:rPr>
              <w:t>加1</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rPr>
              <w:t>差</w:t>
            </w:r>
            <w:r>
              <w:rPr>
                <w:rFonts w:hint="eastAsia" w:ascii="宋体" w:hAnsi="宋体" w:cs="宋体"/>
                <w:sz w:val="24"/>
                <w:lang w:val="zh-CN"/>
              </w:rPr>
              <w:t>，要求专家书面说明理由，并记录在档。</w:t>
            </w:r>
          </w:p>
        </w:tc>
        <w:tc>
          <w:tcPr>
            <w:tcW w:w="452" w:type="pct"/>
            <w:noWrap w:val="0"/>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12</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614"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编制研究方法及思路</w:t>
            </w:r>
          </w:p>
        </w:tc>
        <w:tc>
          <w:tcPr>
            <w:tcW w:w="3105" w:type="pct"/>
            <w:noWrap w:val="0"/>
            <w:vAlign w:val="center"/>
          </w:tcPr>
          <w:p>
            <w:pPr>
              <w:wordWrap w:val="0"/>
              <w:spacing w:line="360" w:lineRule="auto"/>
              <w:rPr>
                <w:rFonts w:hint="eastAsia" w:ascii="宋体" w:hAnsi="宋体" w:cs="宋体"/>
                <w:sz w:val="24"/>
              </w:rPr>
            </w:pPr>
            <w:r>
              <w:rPr>
                <w:rFonts w:hint="eastAsia" w:ascii="宋体" w:hAnsi="宋体" w:cs="宋体"/>
                <w:sz w:val="24"/>
              </w:rPr>
              <w:t>考察对研究内容和报告编制的具体思路和分析维度等研究方法及思路是否清晰、完整，进行综合比较。包含但不限于以下内容：</w:t>
            </w:r>
          </w:p>
          <w:p>
            <w:pPr>
              <w:wordWrap w:val="0"/>
              <w:spacing w:line="360" w:lineRule="auto"/>
              <w:rPr>
                <w:rFonts w:hint="eastAsia" w:ascii="宋体" w:hAnsi="宋体" w:cs="宋体"/>
                <w:sz w:val="24"/>
              </w:rPr>
            </w:pPr>
            <w:r>
              <w:rPr>
                <w:rFonts w:hint="eastAsia" w:ascii="宋体" w:hAnsi="宋体" w:cs="宋体"/>
                <w:sz w:val="24"/>
              </w:rPr>
              <w:t>1.研究方案；</w:t>
            </w:r>
          </w:p>
          <w:p>
            <w:pPr>
              <w:wordWrap w:val="0"/>
              <w:spacing w:line="360" w:lineRule="auto"/>
              <w:rPr>
                <w:rFonts w:hint="eastAsia" w:ascii="宋体" w:hAnsi="宋体" w:cs="宋体"/>
                <w:sz w:val="24"/>
              </w:rPr>
            </w:pPr>
            <w:r>
              <w:rPr>
                <w:rFonts w:hint="eastAsia" w:ascii="宋体" w:hAnsi="宋体" w:cs="宋体"/>
                <w:sz w:val="24"/>
              </w:rPr>
              <w:t>2.研究报告设计；</w:t>
            </w:r>
          </w:p>
          <w:p>
            <w:pPr>
              <w:wordWrap w:val="0"/>
              <w:spacing w:line="360" w:lineRule="auto"/>
              <w:rPr>
                <w:rFonts w:hint="eastAsia" w:ascii="宋体" w:hAnsi="宋体" w:cs="宋体"/>
                <w:sz w:val="24"/>
              </w:rPr>
            </w:pPr>
            <w:r>
              <w:rPr>
                <w:rFonts w:hint="eastAsia" w:ascii="宋体" w:hAnsi="宋体" w:cs="宋体"/>
                <w:sz w:val="24"/>
              </w:rPr>
              <w:t>3.研究思路和数据。</w:t>
            </w:r>
          </w:p>
          <w:p>
            <w:pPr>
              <w:wordWrap w:val="0"/>
              <w:spacing w:line="360" w:lineRule="auto"/>
              <w:rPr>
                <w:rFonts w:hint="eastAsia" w:ascii="宋体" w:hAnsi="宋体" w:cs="宋体"/>
                <w:sz w:val="24"/>
              </w:rPr>
            </w:pPr>
            <w:r>
              <w:rPr>
                <w:rFonts w:hint="eastAsia" w:ascii="宋体" w:hAnsi="宋体" w:cs="宋体"/>
                <w:sz w:val="24"/>
              </w:rPr>
              <w:t>满足以上三项内容得6分，满足任意两项内容得4分，满足任意一项内容得2分；在此基础上，对投标人响应情况进行分档评分：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1.优评分标准：研究方案思路明确、逻辑清晰，满足采购方所有需求，数据来源科学可行。</w:t>
            </w:r>
          </w:p>
          <w:p>
            <w:pPr>
              <w:wordWrap w:val="0"/>
              <w:spacing w:line="360" w:lineRule="auto"/>
              <w:rPr>
                <w:rFonts w:hint="eastAsia" w:ascii="宋体" w:hAnsi="宋体" w:cs="宋体"/>
                <w:sz w:val="24"/>
              </w:rPr>
            </w:pPr>
            <w:r>
              <w:rPr>
                <w:rFonts w:hint="eastAsia" w:ascii="宋体" w:hAnsi="宋体" w:cs="宋体"/>
                <w:sz w:val="24"/>
              </w:rPr>
              <w:t>2.良评分标准：研究方案思路较明确、逻辑清晰，满足采购方大部分需求，数据来源较科学可行。</w:t>
            </w:r>
          </w:p>
          <w:p>
            <w:pPr>
              <w:wordWrap w:val="0"/>
              <w:spacing w:line="360" w:lineRule="auto"/>
              <w:rPr>
                <w:rFonts w:hint="eastAsia" w:ascii="宋体" w:hAnsi="宋体" w:cs="宋体"/>
                <w:sz w:val="24"/>
              </w:rPr>
            </w:pPr>
            <w:r>
              <w:rPr>
                <w:rFonts w:hint="eastAsia" w:ascii="宋体" w:hAnsi="宋体" w:cs="宋体"/>
                <w:sz w:val="24"/>
              </w:rPr>
              <w:t>3.中评分标准：研究方案思路较清晰，满足采购方部分需求，数据来源科学可行性一般。</w:t>
            </w:r>
          </w:p>
          <w:p>
            <w:pPr>
              <w:wordWrap w:val="0"/>
              <w:spacing w:line="360" w:lineRule="auto"/>
              <w:rPr>
                <w:rFonts w:hint="eastAsia" w:ascii="宋体" w:hAnsi="宋体" w:cs="宋体"/>
                <w:sz w:val="24"/>
              </w:rPr>
            </w:pPr>
            <w:r>
              <w:rPr>
                <w:rFonts w:hint="eastAsia" w:ascii="宋体" w:hAnsi="宋体" w:cs="宋体"/>
                <w:sz w:val="24"/>
              </w:rPr>
              <w:t>4.差评分标准：研究方案有严重缺漏，无法满足采购方需求，数据来源不科学可行。</w:t>
            </w:r>
          </w:p>
          <w:p>
            <w:pPr>
              <w:wordWrap w:val="0"/>
              <w:spacing w:line="360" w:lineRule="auto"/>
              <w:rPr>
                <w:rFonts w:hint="eastAsia" w:ascii="宋体" w:hAnsi="宋体" w:cs="宋体"/>
                <w:sz w:val="24"/>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w:t>
            </w:r>
            <w:r>
              <w:rPr>
                <w:rFonts w:hint="eastAsia" w:ascii="宋体" w:hAnsi="宋体" w:cs="宋体"/>
                <w:sz w:val="24"/>
              </w:rPr>
              <w:t>内容</w:t>
            </w:r>
            <w:r>
              <w:rPr>
                <w:rFonts w:hint="eastAsia" w:ascii="宋体" w:hAnsi="宋体" w:cs="宋体"/>
                <w:sz w:val="24"/>
                <w:lang w:val="zh-CN"/>
              </w:rPr>
              <w:t>，评价为优</w:t>
            </w:r>
            <w:r>
              <w:rPr>
                <w:rFonts w:hint="eastAsia" w:ascii="宋体" w:hAnsi="宋体" w:cs="宋体"/>
                <w:sz w:val="24"/>
              </w:rPr>
              <w:t>加4</w:t>
            </w:r>
            <w:r>
              <w:rPr>
                <w:rFonts w:hint="eastAsia" w:ascii="宋体" w:hAnsi="宋体" w:cs="宋体"/>
                <w:sz w:val="24"/>
                <w:lang w:val="zh-CN"/>
              </w:rPr>
              <w:t>分；评价为良</w:t>
            </w:r>
            <w:r>
              <w:rPr>
                <w:rFonts w:hint="eastAsia" w:ascii="宋体" w:hAnsi="宋体" w:cs="宋体"/>
                <w:sz w:val="24"/>
              </w:rPr>
              <w:t>加2</w:t>
            </w:r>
            <w:r>
              <w:rPr>
                <w:rFonts w:hint="eastAsia" w:ascii="宋体" w:hAnsi="宋体" w:cs="宋体"/>
                <w:sz w:val="24"/>
                <w:lang w:val="zh-CN"/>
              </w:rPr>
              <w:t>分；评价为中</w:t>
            </w:r>
            <w:r>
              <w:rPr>
                <w:rFonts w:hint="eastAsia" w:ascii="宋体" w:hAnsi="宋体" w:cs="宋体"/>
                <w:sz w:val="24"/>
              </w:rPr>
              <w:t>加1</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rPr>
              <w:t>差</w:t>
            </w:r>
            <w:r>
              <w:rPr>
                <w:rFonts w:hint="eastAsia" w:ascii="宋体" w:hAnsi="宋体" w:cs="宋体"/>
                <w:sz w:val="24"/>
                <w:lang w:val="zh-CN"/>
              </w:rPr>
              <w:t>，要求专家书面说明理由，并记录在档。</w:t>
            </w:r>
          </w:p>
        </w:tc>
        <w:tc>
          <w:tcPr>
            <w:tcW w:w="452" w:type="pct"/>
            <w:noWrap w:val="0"/>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10</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614"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成果预设</w:t>
            </w:r>
          </w:p>
        </w:tc>
        <w:tc>
          <w:tcPr>
            <w:tcW w:w="3105" w:type="pct"/>
            <w:noWrap w:val="0"/>
            <w:vAlign w:val="center"/>
          </w:tcPr>
          <w:p>
            <w:pPr>
              <w:wordWrap w:val="0"/>
              <w:spacing w:line="360" w:lineRule="auto"/>
              <w:rPr>
                <w:rFonts w:hint="eastAsia" w:ascii="宋体" w:hAnsi="宋体" w:cs="宋体"/>
                <w:sz w:val="24"/>
              </w:rPr>
            </w:pPr>
            <w:r>
              <w:rPr>
                <w:rFonts w:hint="eastAsia" w:ascii="宋体" w:hAnsi="宋体" w:cs="宋体"/>
                <w:sz w:val="24"/>
              </w:rPr>
              <w:t>根据成果编制内容的合理可行性、响应程度等各方面情况进行比较评价。包含但不限于以下内容：</w:t>
            </w:r>
          </w:p>
          <w:p>
            <w:pPr>
              <w:wordWrap w:val="0"/>
              <w:spacing w:line="360" w:lineRule="auto"/>
              <w:rPr>
                <w:rFonts w:hint="eastAsia" w:ascii="宋体" w:hAnsi="宋体" w:cs="宋体"/>
                <w:sz w:val="24"/>
              </w:rPr>
            </w:pPr>
            <w:r>
              <w:rPr>
                <w:rFonts w:hint="eastAsia" w:ascii="宋体" w:hAnsi="宋体" w:cs="宋体"/>
                <w:sz w:val="24"/>
              </w:rPr>
              <w:t>1.成果响应；</w:t>
            </w:r>
          </w:p>
          <w:p>
            <w:pPr>
              <w:wordWrap w:val="0"/>
              <w:spacing w:line="360" w:lineRule="auto"/>
              <w:rPr>
                <w:rFonts w:hint="eastAsia" w:ascii="宋体" w:hAnsi="宋体" w:cs="宋体"/>
                <w:sz w:val="24"/>
              </w:rPr>
            </w:pPr>
            <w:r>
              <w:rPr>
                <w:rFonts w:hint="eastAsia" w:ascii="宋体" w:hAnsi="宋体" w:cs="宋体"/>
                <w:sz w:val="24"/>
              </w:rPr>
              <w:t xml:space="preserve">2.成果内容； </w:t>
            </w:r>
          </w:p>
          <w:p>
            <w:pPr>
              <w:wordWrap w:val="0"/>
              <w:spacing w:line="360" w:lineRule="auto"/>
              <w:rPr>
                <w:rFonts w:hint="eastAsia" w:ascii="宋体" w:hAnsi="宋体" w:cs="宋体"/>
                <w:sz w:val="24"/>
              </w:rPr>
            </w:pPr>
            <w:r>
              <w:rPr>
                <w:rFonts w:hint="eastAsia" w:ascii="宋体" w:hAnsi="宋体" w:cs="宋体"/>
                <w:sz w:val="24"/>
              </w:rPr>
              <w:t>满足上述两项的得3分，满足一项的得1分，在此基础上，对投标人响应情况进行分档评分：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1.优评分标准：成果响应内容全面，合理可行。</w:t>
            </w:r>
          </w:p>
          <w:p>
            <w:pPr>
              <w:wordWrap w:val="0"/>
              <w:spacing w:line="360" w:lineRule="auto"/>
              <w:rPr>
                <w:rFonts w:hint="eastAsia" w:ascii="宋体" w:hAnsi="宋体" w:cs="宋体"/>
                <w:sz w:val="24"/>
              </w:rPr>
            </w:pPr>
            <w:r>
              <w:rPr>
                <w:rFonts w:hint="eastAsia" w:ascii="宋体" w:hAnsi="宋体" w:cs="宋体"/>
                <w:sz w:val="24"/>
              </w:rPr>
              <w:t>2.良评分标准：成果响应内容较全面，比较合理可行。</w:t>
            </w:r>
          </w:p>
          <w:p>
            <w:pPr>
              <w:wordWrap w:val="0"/>
              <w:spacing w:line="360" w:lineRule="auto"/>
              <w:rPr>
                <w:rFonts w:hint="eastAsia" w:ascii="宋体" w:hAnsi="宋体" w:cs="宋体"/>
                <w:sz w:val="24"/>
              </w:rPr>
            </w:pPr>
            <w:r>
              <w:rPr>
                <w:rFonts w:hint="eastAsia" w:ascii="宋体" w:hAnsi="宋体" w:cs="宋体"/>
                <w:sz w:val="24"/>
              </w:rPr>
              <w:t>3.中评分标准：成果响应内容一般，不够合理可行。</w:t>
            </w:r>
          </w:p>
          <w:p>
            <w:pPr>
              <w:wordWrap w:val="0"/>
              <w:spacing w:line="360" w:lineRule="auto"/>
              <w:rPr>
                <w:rFonts w:hint="eastAsia" w:ascii="宋体" w:hAnsi="宋体" w:cs="宋体"/>
                <w:sz w:val="24"/>
              </w:rPr>
            </w:pPr>
            <w:r>
              <w:rPr>
                <w:rFonts w:hint="eastAsia" w:ascii="宋体" w:hAnsi="宋体" w:cs="宋体"/>
                <w:sz w:val="24"/>
              </w:rPr>
              <w:t>4.差评分标准：成果响应内容有严重缺漏，不合理可行。</w:t>
            </w:r>
          </w:p>
          <w:p>
            <w:pPr>
              <w:wordWrap w:val="0"/>
              <w:spacing w:line="360" w:lineRule="auto"/>
              <w:rPr>
                <w:rFonts w:hint="eastAsia" w:ascii="宋体" w:hAnsi="宋体" w:cs="宋体"/>
                <w:sz w:val="24"/>
                <w:lang w:val="zh-CN"/>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w:t>
            </w:r>
            <w:r>
              <w:rPr>
                <w:rFonts w:hint="eastAsia" w:ascii="宋体" w:hAnsi="宋体" w:cs="宋体"/>
                <w:sz w:val="24"/>
              </w:rPr>
              <w:t>内容</w:t>
            </w:r>
            <w:r>
              <w:rPr>
                <w:rFonts w:hint="eastAsia" w:ascii="宋体" w:hAnsi="宋体" w:cs="宋体"/>
                <w:sz w:val="24"/>
                <w:lang w:val="zh-CN"/>
              </w:rPr>
              <w:t>，评价为优</w:t>
            </w:r>
            <w:r>
              <w:rPr>
                <w:rFonts w:hint="eastAsia" w:ascii="宋体" w:hAnsi="宋体" w:cs="宋体"/>
                <w:sz w:val="24"/>
              </w:rPr>
              <w:t>加2</w:t>
            </w:r>
            <w:r>
              <w:rPr>
                <w:rFonts w:hint="eastAsia" w:ascii="宋体" w:hAnsi="宋体" w:cs="宋体"/>
                <w:sz w:val="24"/>
                <w:lang w:val="zh-CN"/>
              </w:rPr>
              <w:t>分；评价为良</w:t>
            </w:r>
            <w:r>
              <w:rPr>
                <w:rFonts w:hint="eastAsia" w:ascii="宋体" w:hAnsi="宋体" w:cs="宋体"/>
                <w:sz w:val="24"/>
              </w:rPr>
              <w:t>加1</w:t>
            </w:r>
            <w:r>
              <w:rPr>
                <w:rFonts w:hint="eastAsia" w:ascii="宋体" w:hAnsi="宋体" w:cs="宋体"/>
                <w:sz w:val="24"/>
                <w:lang w:val="zh-CN"/>
              </w:rPr>
              <w:t>分；评价为中</w:t>
            </w:r>
            <w:r>
              <w:rPr>
                <w:rFonts w:hint="eastAsia" w:ascii="宋体" w:hAnsi="宋体" w:cs="宋体"/>
                <w:sz w:val="24"/>
              </w:rPr>
              <w:t>加0.5</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rPr>
              <w:t>差</w:t>
            </w:r>
            <w:r>
              <w:rPr>
                <w:rFonts w:hint="eastAsia" w:ascii="宋体" w:hAnsi="宋体" w:cs="宋体"/>
                <w:sz w:val="24"/>
                <w:lang w:val="zh-CN"/>
              </w:rPr>
              <w:t>，要求专家书面说明理由，并记录在档。</w:t>
            </w:r>
          </w:p>
        </w:tc>
        <w:tc>
          <w:tcPr>
            <w:tcW w:w="452" w:type="pct"/>
            <w:noWrap w:val="0"/>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5</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79"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5</w:t>
            </w:r>
          </w:p>
        </w:tc>
        <w:tc>
          <w:tcPr>
            <w:tcW w:w="614" w:type="pct"/>
            <w:noWrap w:val="0"/>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项目进度计划</w:t>
            </w:r>
          </w:p>
        </w:tc>
        <w:tc>
          <w:tcPr>
            <w:tcW w:w="3105" w:type="pct"/>
            <w:noWrap w:val="0"/>
            <w:vAlign w:val="center"/>
          </w:tcPr>
          <w:p>
            <w:pPr>
              <w:wordWrap w:val="0"/>
              <w:spacing w:line="360" w:lineRule="auto"/>
              <w:rPr>
                <w:rFonts w:hint="eastAsia" w:ascii="宋体" w:hAnsi="宋体" w:cs="宋体"/>
                <w:sz w:val="24"/>
              </w:rPr>
            </w:pPr>
            <w:r>
              <w:rPr>
                <w:rFonts w:hint="eastAsia" w:ascii="宋体" w:hAnsi="宋体" w:cs="宋体"/>
                <w:sz w:val="24"/>
              </w:rPr>
              <w:t>项目整体实施时间是否紧凑、合理，根据项目进度的切合程度进行比较评价。</w:t>
            </w:r>
          </w:p>
          <w:p>
            <w:pPr>
              <w:wordWrap w:val="0"/>
              <w:spacing w:line="360" w:lineRule="auto"/>
              <w:rPr>
                <w:rFonts w:hint="eastAsia" w:ascii="宋体" w:hAnsi="宋体" w:cs="宋体"/>
                <w:sz w:val="24"/>
              </w:rPr>
            </w:pPr>
            <w:r>
              <w:rPr>
                <w:rFonts w:hint="eastAsia" w:ascii="宋体" w:hAnsi="宋体" w:cs="宋体"/>
                <w:sz w:val="24"/>
              </w:rPr>
              <w:t>1.具备完备的项目进度计划体系文档；</w:t>
            </w:r>
          </w:p>
          <w:p>
            <w:pPr>
              <w:wordWrap w:val="0"/>
              <w:spacing w:line="360" w:lineRule="auto"/>
              <w:rPr>
                <w:rFonts w:hint="eastAsia" w:ascii="宋体" w:hAnsi="宋体" w:cs="宋体"/>
                <w:sz w:val="24"/>
              </w:rPr>
            </w:pPr>
            <w:r>
              <w:rPr>
                <w:rFonts w:hint="eastAsia" w:ascii="宋体" w:hAnsi="宋体" w:cs="宋体"/>
                <w:sz w:val="24"/>
              </w:rPr>
              <w:t>2.项目进度计划紧凑，时间安排合理。</w:t>
            </w:r>
          </w:p>
          <w:p>
            <w:pPr>
              <w:wordWrap w:val="0"/>
              <w:spacing w:line="360" w:lineRule="auto"/>
              <w:rPr>
                <w:rFonts w:hint="eastAsia" w:ascii="宋体" w:hAnsi="宋体" w:cs="宋体"/>
                <w:sz w:val="24"/>
              </w:rPr>
            </w:pPr>
            <w:r>
              <w:rPr>
                <w:rFonts w:hint="eastAsia" w:ascii="宋体" w:hAnsi="宋体" w:cs="宋体"/>
                <w:sz w:val="24"/>
              </w:rPr>
              <w:t>满足上述两项的得2分，满足一项的得1分，全部不满足的不得分，在此基础上，对投标人响应情况进行分档评分：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1.优评分标准：具备完善的项目进度计划，项目进度计划紧凑，时间安排合理。</w:t>
            </w:r>
          </w:p>
          <w:p>
            <w:pPr>
              <w:wordWrap w:val="0"/>
              <w:spacing w:line="360" w:lineRule="auto"/>
              <w:rPr>
                <w:rFonts w:hint="eastAsia" w:ascii="宋体" w:hAnsi="宋体" w:cs="宋体"/>
                <w:sz w:val="24"/>
              </w:rPr>
            </w:pPr>
            <w:r>
              <w:rPr>
                <w:rFonts w:hint="eastAsia" w:ascii="宋体" w:hAnsi="宋体" w:cs="宋体"/>
                <w:sz w:val="24"/>
              </w:rPr>
              <w:t>2.良评分标准：项目进度计划基本完善，项目进度计划较紧凑，时间安排较合理。</w:t>
            </w:r>
          </w:p>
          <w:p>
            <w:pPr>
              <w:wordWrap w:val="0"/>
              <w:spacing w:line="360" w:lineRule="auto"/>
              <w:rPr>
                <w:rFonts w:hint="eastAsia" w:ascii="宋体" w:hAnsi="宋体" w:cs="宋体"/>
                <w:sz w:val="24"/>
              </w:rPr>
            </w:pPr>
            <w:r>
              <w:rPr>
                <w:rFonts w:hint="eastAsia" w:ascii="宋体" w:hAnsi="宋体" w:cs="宋体"/>
                <w:sz w:val="24"/>
              </w:rPr>
              <w:t>3.中评分标准：具备基本的项目进度计划，时间安排一般合理。</w:t>
            </w:r>
          </w:p>
          <w:p>
            <w:pPr>
              <w:wordWrap w:val="0"/>
              <w:spacing w:line="360" w:lineRule="auto"/>
              <w:rPr>
                <w:rFonts w:hint="eastAsia" w:ascii="宋体" w:hAnsi="宋体" w:cs="宋体"/>
                <w:sz w:val="24"/>
              </w:rPr>
            </w:pPr>
            <w:r>
              <w:rPr>
                <w:rFonts w:hint="eastAsia" w:ascii="宋体" w:hAnsi="宋体" w:cs="宋体"/>
                <w:sz w:val="24"/>
              </w:rPr>
              <w:t>4.差评分标准：项目进度计划不合理可行。</w:t>
            </w:r>
          </w:p>
          <w:p>
            <w:pPr>
              <w:wordWrap w:val="0"/>
              <w:spacing w:line="360" w:lineRule="auto"/>
              <w:rPr>
                <w:rFonts w:hint="eastAsia" w:ascii="宋体" w:hAnsi="宋体" w:cs="宋体"/>
                <w:sz w:val="24"/>
                <w:lang w:val="zh-CN"/>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w:t>
            </w:r>
            <w:r>
              <w:rPr>
                <w:rFonts w:hint="eastAsia" w:ascii="宋体" w:hAnsi="宋体" w:cs="宋体"/>
                <w:sz w:val="24"/>
              </w:rPr>
              <w:t>内容</w:t>
            </w:r>
            <w:r>
              <w:rPr>
                <w:rFonts w:hint="eastAsia" w:ascii="宋体" w:hAnsi="宋体" w:cs="宋体"/>
                <w:sz w:val="24"/>
                <w:lang w:val="zh-CN"/>
              </w:rPr>
              <w:t>，评价为优</w:t>
            </w:r>
            <w:r>
              <w:rPr>
                <w:rFonts w:hint="eastAsia" w:ascii="宋体" w:hAnsi="宋体" w:cs="宋体"/>
                <w:sz w:val="24"/>
              </w:rPr>
              <w:t>加1</w:t>
            </w:r>
            <w:r>
              <w:rPr>
                <w:rFonts w:hint="eastAsia" w:ascii="宋体" w:hAnsi="宋体" w:cs="宋体"/>
                <w:sz w:val="24"/>
                <w:lang w:val="zh-CN"/>
              </w:rPr>
              <w:t>分；评价为良</w:t>
            </w:r>
            <w:r>
              <w:rPr>
                <w:rFonts w:hint="eastAsia" w:ascii="宋体" w:hAnsi="宋体" w:cs="宋体"/>
                <w:sz w:val="24"/>
              </w:rPr>
              <w:t>加0.75</w:t>
            </w:r>
            <w:r>
              <w:rPr>
                <w:rFonts w:hint="eastAsia" w:ascii="宋体" w:hAnsi="宋体" w:cs="宋体"/>
                <w:sz w:val="24"/>
                <w:lang w:val="zh-CN"/>
              </w:rPr>
              <w:t>分；评价为中</w:t>
            </w:r>
            <w:r>
              <w:rPr>
                <w:rFonts w:hint="eastAsia" w:ascii="宋体" w:hAnsi="宋体" w:cs="宋体"/>
                <w:sz w:val="24"/>
              </w:rPr>
              <w:t>加0.5</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rPr>
              <w:t>差</w:t>
            </w:r>
            <w:r>
              <w:rPr>
                <w:rFonts w:hint="eastAsia" w:ascii="宋体" w:hAnsi="宋体" w:cs="宋体"/>
                <w:sz w:val="24"/>
                <w:lang w:val="zh-CN"/>
              </w:rPr>
              <w:t>，要求专家书面说明理由，并记录在档。</w:t>
            </w:r>
          </w:p>
        </w:tc>
        <w:tc>
          <w:tcPr>
            <w:tcW w:w="452" w:type="pct"/>
            <w:noWrap w:val="0"/>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3</w:t>
            </w:r>
          </w:p>
        </w:tc>
        <w:tc>
          <w:tcPr>
            <w:tcW w:w="448" w:type="pct"/>
            <w:noWrap w:val="0"/>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bl>
    <w:p>
      <w:pPr>
        <w:pStyle w:val="3"/>
        <w:rPr>
          <w:lang w:val="fr-CH"/>
        </w:rPr>
        <w:sectPr>
          <w:pgSz w:w="11906" w:h="16838"/>
          <w:pgMar w:top="850" w:right="1803" w:bottom="709" w:left="1803" w:header="851" w:footer="992" w:gutter="0"/>
          <w:pgNumType w:fmt="decimal"/>
          <w:cols w:space="720" w:num="1"/>
          <w:docGrid w:type="lines" w:linePitch="319" w:charSpace="0"/>
        </w:sectPr>
      </w:pPr>
    </w:p>
    <w:p/>
    <w:p>
      <w:pPr>
        <w:spacing w:line="360" w:lineRule="auto"/>
        <w:jc w:val="center"/>
        <w:outlineLvl w:val="0"/>
        <w:rPr>
          <w:rFonts w:ascii="宋体" w:hAnsi="宋体" w:cs="宋体"/>
          <w:b/>
          <w:bCs/>
          <w:sz w:val="24"/>
        </w:rPr>
      </w:pPr>
      <w:r>
        <w:rPr>
          <w:rFonts w:hint="eastAsia" w:ascii="宋体" w:hAnsi="宋体" w:cs="宋体"/>
          <w:b/>
          <w:bCs/>
          <w:sz w:val="24"/>
        </w:rPr>
        <w:t>第七章 附件（投标文件格式）</w:t>
      </w:r>
      <w:bookmarkEnd w:id="39"/>
    </w:p>
    <w:p>
      <w:pPr>
        <w:keepNext/>
        <w:keepLines/>
        <w:spacing w:before="260" w:after="260" w:line="440" w:lineRule="exact"/>
        <w:jc w:val="center"/>
        <w:outlineLvl w:val="1"/>
        <w:rPr>
          <w:rFonts w:ascii="宋体" w:hAnsi="宋体" w:cs="宋体"/>
          <w:b/>
          <w:bCs/>
          <w:sz w:val="24"/>
        </w:rPr>
      </w:pPr>
      <w:bookmarkStart w:id="41" w:name="_Toc6548"/>
      <w:bookmarkStart w:id="42" w:name="_Toc19494"/>
      <w:bookmarkStart w:id="43" w:name="_Toc31827"/>
      <w:bookmarkStart w:id="44" w:name="_Toc5116"/>
      <w:r>
        <w:rPr>
          <w:rFonts w:hint="eastAsia" w:ascii="宋体" w:hAnsi="宋体" w:cs="宋体"/>
          <w:b/>
          <w:bCs/>
          <w:sz w:val="24"/>
        </w:rPr>
        <w:t>一、投标文件密封袋/封面参考</w:t>
      </w:r>
      <w:bookmarkEnd w:id="41"/>
      <w:bookmarkEnd w:id="42"/>
      <w:bookmarkEnd w:id="43"/>
      <w:bookmarkEnd w:id="44"/>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9"/>
              <w:tabs>
                <w:tab w:val="left" w:pos="562"/>
                <w:tab w:val="left" w:pos="3372"/>
                <w:tab w:val="left" w:pos="3653"/>
              </w:tabs>
              <w:spacing w:line="360" w:lineRule="auto"/>
              <w:rPr>
                <w:rFonts w:ascii="仿宋_GB2312" w:eastAsia="仿宋_GB2312"/>
                <w:b/>
                <w:sz w:val="32"/>
              </w:rPr>
            </w:pPr>
          </w:p>
          <w:p>
            <w:pPr>
              <w:pStyle w:val="9"/>
              <w:tabs>
                <w:tab w:val="left" w:pos="562"/>
                <w:tab w:val="left" w:pos="3372"/>
                <w:tab w:val="left" w:pos="3653"/>
              </w:tabs>
              <w:spacing w:line="360" w:lineRule="auto"/>
              <w:jc w:val="center"/>
              <w:rPr>
                <w:rFonts w:ascii="黑体" w:eastAsia="黑体"/>
                <w:b/>
                <w:sz w:val="72"/>
                <w:szCs w:val="72"/>
              </w:rPr>
            </w:pPr>
          </w:p>
          <w:p>
            <w:pPr>
              <w:pStyle w:val="9"/>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9"/>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9"/>
              <w:tabs>
                <w:tab w:val="left" w:pos="562"/>
                <w:tab w:val="left" w:pos="3372"/>
                <w:tab w:val="left" w:pos="3653"/>
              </w:tabs>
              <w:spacing w:line="360" w:lineRule="auto"/>
              <w:rPr>
                <w:rFonts w:ascii="仿宋_GB2312" w:eastAsia="仿宋_GB2312"/>
                <w:b/>
                <w:sz w:val="32"/>
              </w:rPr>
            </w:pPr>
          </w:p>
          <w:p/>
          <w:p>
            <w:pPr>
              <w:pStyle w:val="9"/>
              <w:tabs>
                <w:tab w:val="left" w:pos="562"/>
                <w:tab w:val="left" w:pos="3372"/>
                <w:tab w:val="left" w:pos="3653"/>
              </w:tabs>
              <w:spacing w:line="400" w:lineRule="exact"/>
              <w:ind w:firstLine="900" w:firstLineChars="320"/>
              <w:rPr>
                <w:rFonts w:ascii="仿宋_GB2312" w:eastAsia="仿宋_GB2312"/>
                <w:b/>
                <w:sz w:val="28"/>
                <w:szCs w:val="28"/>
              </w:rPr>
            </w:pPr>
          </w:p>
          <w:p>
            <w:pPr>
              <w:pStyle w:val="9"/>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项目编号：</w:t>
            </w:r>
            <w:r>
              <w:rPr>
                <w:rFonts w:hint="eastAsia" w:ascii="宋体" w:hAnsi="宋体" w:cs="Arial"/>
                <w:b/>
                <w:bCs/>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项目名称：</w:t>
            </w:r>
            <w:r>
              <w:rPr>
                <w:rFonts w:hint="eastAsia" w:ascii="宋体" w:hAnsi="宋体" w:cs="Arial"/>
                <w:b/>
                <w:bCs/>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宋体"/>
                <w:b/>
                <w:sz w:val="28"/>
                <w:szCs w:val="28"/>
              </w:rPr>
              <w:t>投标人名称：</w:t>
            </w:r>
            <w:r>
              <w:rPr>
                <w:rFonts w:hint="eastAsia" w:ascii="宋体" w:hAnsi="宋体" w:cs="Arial"/>
                <w:b/>
                <w:bCs/>
                <w:sz w:val="28"/>
                <w:szCs w:val="28"/>
                <w:u w:val="single"/>
              </w:rPr>
              <w:t xml:space="preserve">                     （加盖公章）</w:t>
            </w:r>
          </w:p>
          <w:p>
            <w:pPr>
              <w:pStyle w:val="9"/>
              <w:tabs>
                <w:tab w:val="left" w:pos="562"/>
                <w:tab w:val="left" w:pos="3372"/>
                <w:tab w:val="left" w:pos="3653"/>
              </w:tabs>
              <w:spacing w:line="400" w:lineRule="exact"/>
              <w:ind w:firstLine="900" w:firstLineChars="320"/>
              <w:rPr>
                <w:rFonts w:ascii="宋体" w:hAnsi="宋体" w:cs="Arial"/>
                <w:b/>
                <w:bCs/>
                <w:sz w:val="28"/>
                <w:szCs w:val="28"/>
                <w:u w:val="single"/>
              </w:rPr>
            </w:pPr>
            <w:r>
              <w:rPr>
                <w:rFonts w:hint="eastAsia" w:ascii="宋体" w:hAnsi="宋体" w:cs="宋体"/>
                <w:b/>
                <w:sz w:val="28"/>
                <w:szCs w:val="28"/>
              </w:rPr>
              <w:t>投标人地址：</w:t>
            </w:r>
            <w:r>
              <w:rPr>
                <w:rFonts w:hint="eastAsia" w:ascii="宋体" w:hAnsi="宋体" w:cs="Arial"/>
                <w:b/>
                <w:bCs/>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pStyle w:val="9"/>
              <w:tabs>
                <w:tab w:val="left" w:pos="562"/>
                <w:tab w:val="left" w:pos="3372"/>
                <w:tab w:val="left" w:pos="3653"/>
              </w:tabs>
              <w:spacing w:line="400" w:lineRule="exact"/>
              <w:ind w:firstLine="900" w:firstLineChars="320"/>
              <w:rPr>
                <w:rFonts w:ascii="宋体" w:hAnsi="宋体" w:cs="宋体"/>
                <w:b/>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仿宋_GB2312" w:eastAsia="仿宋_GB2312"/>
                <w:b/>
                <w:sz w:val="32"/>
              </w:rPr>
            </w:pPr>
            <w:r>
              <w:rPr>
                <w:rFonts w:hint="eastAsia" w:ascii="宋体" w:hAnsi="宋体" w:cs="Arial"/>
                <w:b/>
                <w:bCs/>
                <w:sz w:val="28"/>
                <w:szCs w:val="28"/>
              </w:rPr>
              <w:t>【年月日时分之前不得启封。】</w:t>
            </w:r>
          </w:p>
        </w:tc>
      </w:tr>
    </w:tbl>
    <w:p>
      <w:pPr>
        <w:spacing w:before="100" w:beforeAutospacing="1" w:after="100" w:afterAutospacing="1"/>
        <w:jc w:val="center"/>
        <w:outlineLvl w:val="1"/>
        <w:rPr>
          <w:rFonts w:ascii="宋体" w:hAnsi="宋体" w:cs="宋体"/>
          <w:b/>
          <w:sz w:val="24"/>
        </w:rPr>
      </w:pPr>
      <w:bookmarkStart w:id="45" w:name="_Toc16724"/>
      <w:r>
        <w:rPr>
          <w:rFonts w:hint="eastAsia" w:ascii="宋体" w:hAnsi="宋体" w:cs="宋体"/>
          <w:b/>
          <w:sz w:val="24"/>
        </w:rPr>
        <w:t>二、投标文件—目录</w:t>
      </w:r>
      <w:bookmarkEnd w:id="45"/>
    </w:p>
    <w:p>
      <w:pPr>
        <w:spacing w:line="360" w:lineRule="auto"/>
        <w:rPr>
          <w:rFonts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rPr>
          <w:rFonts w:ascii="宋体" w:hAnsi="宋体" w:cs="宋体"/>
          <w:sz w:val="24"/>
        </w:rPr>
      </w:pPr>
      <w:r>
        <w:rPr>
          <w:rFonts w:hint="eastAsia" w:ascii="宋体" w:hAnsi="宋体" w:cs="宋体"/>
          <w:sz w:val="24"/>
        </w:rPr>
        <w:t>1、投标一览表；</w:t>
      </w:r>
    </w:p>
    <w:p>
      <w:pPr>
        <w:tabs>
          <w:tab w:val="left" w:pos="640"/>
        </w:tabs>
        <w:spacing w:line="360" w:lineRule="auto"/>
        <w:rPr>
          <w:rFonts w:ascii="宋体" w:hAnsi="宋体" w:cs="宋体"/>
          <w:sz w:val="24"/>
        </w:rPr>
      </w:pPr>
      <w:r>
        <w:rPr>
          <w:rFonts w:hint="eastAsia" w:ascii="宋体" w:hAnsi="宋体" w:cs="宋体"/>
          <w:sz w:val="24"/>
        </w:rPr>
        <w:t>2、分类报价明细表；</w:t>
      </w:r>
    </w:p>
    <w:p>
      <w:pPr>
        <w:tabs>
          <w:tab w:val="left" w:pos="640"/>
        </w:tabs>
        <w:spacing w:line="360" w:lineRule="auto"/>
      </w:pPr>
      <w:r>
        <w:rPr>
          <w:rFonts w:hint="eastAsia" w:ascii="宋体" w:hAnsi="宋体" w:cs="宋体"/>
          <w:sz w:val="24"/>
        </w:rPr>
        <w:t>3、《中小企业声明函》或《残疾人福利性单位声明函》或《监狱企业声明函》（参与价格扣减的投标人应提供）；</w:t>
      </w:r>
    </w:p>
    <w:p>
      <w:pPr>
        <w:spacing w:line="360" w:lineRule="auto"/>
        <w:rPr>
          <w:rFonts w:ascii="宋体" w:hAnsi="宋体" w:cs="宋体"/>
          <w:b/>
          <w:bCs/>
          <w:sz w:val="24"/>
          <w:u w:val="wave"/>
        </w:rPr>
      </w:pPr>
      <w:r>
        <w:rPr>
          <w:rFonts w:hint="eastAsia" w:ascii="宋体" w:hAnsi="宋体" w:cs="宋体"/>
          <w:b/>
          <w:bCs/>
          <w:sz w:val="24"/>
        </w:rPr>
        <w:t>（二）商务部分</w:t>
      </w:r>
    </w:p>
    <w:p>
      <w:pPr>
        <w:numPr>
          <w:ilvl w:val="0"/>
          <w:numId w:val="6"/>
        </w:numPr>
        <w:tabs>
          <w:tab w:val="left" w:pos="640"/>
          <w:tab w:val="left" w:pos="1260"/>
          <w:tab w:val="left" w:pos="1418"/>
        </w:tabs>
        <w:spacing w:line="360" w:lineRule="auto"/>
        <w:ind w:left="845" w:hanging="845"/>
        <w:rPr>
          <w:rFonts w:ascii="宋体" w:hAnsi="宋体" w:cs="宋体"/>
          <w:sz w:val="24"/>
        </w:rPr>
      </w:pPr>
      <w:r>
        <w:rPr>
          <w:rFonts w:hint="eastAsia" w:ascii="宋体" w:hAnsi="宋体" w:cs="宋体"/>
          <w:sz w:val="24"/>
        </w:rPr>
        <w:t>投标响应书；</w:t>
      </w:r>
    </w:p>
    <w:p>
      <w:pPr>
        <w:numPr>
          <w:ilvl w:val="0"/>
          <w:numId w:val="6"/>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6"/>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政府采购投标及履约承诺函；</w:t>
      </w:r>
    </w:p>
    <w:p>
      <w:pPr>
        <w:numPr>
          <w:ilvl w:val="0"/>
          <w:numId w:val="6"/>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政府采购违法行为风险知悉确认书</w:t>
      </w:r>
    </w:p>
    <w:p>
      <w:pPr>
        <w:numPr>
          <w:ilvl w:val="0"/>
          <w:numId w:val="6"/>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关于资格的声明函；</w:t>
      </w:r>
    </w:p>
    <w:p>
      <w:pPr>
        <w:numPr>
          <w:ilvl w:val="0"/>
          <w:numId w:val="6"/>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法</w:t>
      </w:r>
      <w:r>
        <w:rPr>
          <w:rFonts w:hint="eastAsia" w:ascii="宋体" w:hAnsi="宋体" w:cs="宋体"/>
          <w:sz w:val="24"/>
        </w:rPr>
        <w:t>定</w:t>
      </w:r>
      <w:r>
        <w:rPr>
          <w:rFonts w:hint="eastAsia" w:ascii="宋体" w:hAnsi="宋体" w:cs="宋体"/>
          <w:sz w:val="24"/>
          <w:lang w:val="fr-CH"/>
        </w:rPr>
        <w:t>代表</w:t>
      </w:r>
      <w:r>
        <w:rPr>
          <w:rFonts w:hint="eastAsia" w:ascii="宋体" w:hAnsi="宋体" w:cs="宋体"/>
          <w:sz w:val="24"/>
        </w:rPr>
        <w:t>人</w:t>
      </w:r>
      <w:r>
        <w:rPr>
          <w:rFonts w:hint="eastAsia" w:ascii="宋体" w:hAnsi="宋体" w:cs="宋体"/>
          <w:sz w:val="24"/>
          <w:lang w:val="fr-CH"/>
        </w:rPr>
        <w:t>/单位负责人证明书及身份证明；</w:t>
      </w:r>
    </w:p>
    <w:p>
      <w:pPr>
        <w:numPr>
          <w:ilvl w:val="0"/>
          <w:numId w:val="6"/>
        </w:numPr>
        <w:tabs>
          <w:tab w:val="left" w:pos="640"/>
          <w:tab w:val="left" w:pos="1260"/>
          <w:tab w:val="left" w:pos="1418"/>
        </w:tabs>
        <w:spacing w:line="360" w:lineRule="auto"/>
        <w:ind w:left="645" w:hanging="645"/>
        <w:rPr>
          <w:rFonts w:hint="eastAsia" w:ascii="宋体" w:hAnsi="宋体" w:cs="宋体"/>
          <w:sz w:val="24"/>
          <w:lang w:val="fr-CH"/>
        </w:rPr>
      </w:pPr>
      <w:r>
        <w:rPr>
          <w:rFonts w:hint="eastAsia" w:ascii="宋体" w:hAnsi="宋体" w:cs="宋体"/>
          <w:sz w:val="24"/>
          <w:lang w:val="fr-CH"/>
        </w:rPr>
        <w:t>法定代表人/单位负责人授权书及身份证明；</w:t>
      </w:r>
    </w:p>
    <w:p>
      <w:pPr>
        <w:numPr>
          <w:ilvl w:val="0"/>
          <w:numId w:val="6"/>
        </w:numPr>
        <w:tabs>
          <w:tab w:val="left" w:pos="640"/>
          <w:tab w:val="left" w:pos="1260"/>
          <w:tab w:val="left" w:pos="1418"/>
        </w:tabs>
        <w:spacing w:line="360" w:lineRule="auto"/>
        <w:ind w:left="645" w:hanging="645"/>
        <w:rPr>
          <w:rFonts w:ascii="宋体" w:hAnsi="宋体" w:cs="宋体"/>
          <w:sz w:val="24"/>
          <w:lang w:val="fr-CH"/>
        </w:rPr>
      </w:pPr>
      <w:r>
        <w:rPr>
          <w:rFonts w:hint="eastAsia" w:ascii="宋体" w:hAnsi="宋体" w:cs="宋体"/>
          <w:sz w:val="24"/>
          <w:lang w:val="fr-CH"/>
        </w:rPr>
        <w:t>招标代理服务费承诺书；</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sz w:val="24"/>
          <w:lang w:val="fr-CH"/>
        </w:rPr>
      </w:pPr>
      <w:r>
        <w:rPr>
          <w:rFonts w:hint="eastAsia" w:ascii="宋体" w:hAnsi="宋体" w:cs="宋体"/>
          <w:sz w:val="24"/>
          <w:lang w:val="fr-CH"/>
        </w:rPr>
        <w:t>投标人简介（供应商基本情况表）；</w:t>
      </w:r>
    </w:p>
    <w:p>
      <w:pPr>
        <w:numPr>
          <w:ilvl w:val="0"/>
          <w:numId w:val="6"/>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同类项目业绩；</w:t>
      </w:r>
    </w:p>
    <w:p>
      <w:pPr>
        <w:numPr>
          <w:ilvl w:val="0"/>
          <w:numId w:val="6"/>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项目负责人（仅限1人）；</w:t>
      </w:r>
    </w:p>
    <w:p>
      <w:pPr>
        <w:numPr>
          <w:ilvl w:val="0"/>
          <w:numId w:val="6"/>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团队成员（项目负责人除外）；</w:t>
      </w:r>
    </w:p>
    <w:p>
      <w:pPr>
        <w:numPr>
          <w:ilvl w:val="0"/>
          <w:numId w:val="6"/>
        </w:numPr>
        <w:tabs>
          <w:tab w:val="left" w:pos="640"/>
          <w:tab w:val="left" w:pos="840"/>
          <w:tab w:val="left" w:pos="1260"/>
          <w:tab w:val="left" w:pos="1418"/>
        </w:tabs>
        <w:spacing w:line="360" w:lineRule="auto"/>
        <w:ind w:left="845" w:hanging="845"/>
        <w:rPr>
          <w:rFonts w:ascii="宋体" w:hAnsi="宋体" w:cs="宋体"/>
          <w:sz w:val="24"/>
        </w:rPr>
      </w:pPr>
      <w:r>
        <w:rPr>
          <w:rFonts w:hint="eastAsia" w:ascii="宋体" w:hAnsi="宋体" w:cs="宋体"/>
          <w:sz w:val="24"/>
        </w:rPr>
        <w:t>投标人认为有必要提供的其他材料。</w:t>
      </w:r>
    </w:p>
    <w:p>
      <w:pPr>
        <w:spacing w:line="360" w:lineRule="auto"/>
        <w:rPr>
          <w:rFonts w:ascii="宋体" w:hAnsi="宋体" w:cs="宋体"/>
          <w:b/>
          <w:bCs/>
          <w:sz w:val="24"/>
        </w:rPr>
      </w:pPr>
      <w:r>
        <w:rPr>
          <w:rFonts w:hint="eastAsia" w:ascii="宋体" w:hAnsi="宋体" w:cs="宋体"/>
          <w:b/>
          <w:bCs/>
          <w:sz w:val="24"/>
        </w:rPr>
        <w:t>（三）技术部分</w:t>
      </w:r>
    </w:p>
    <w:p>
      <w:pPr>
        <w:numPr>
          <w:ilvl w:val="0"/>
          <w:numId w:val="7"/>
        </w:numPr>
        <w:tabs>
          <w:tab w:val="left" w:pos="640"/>
          <w:tab w:val="left" w:pos="1260"/>
          <w:tab w:val="left" w:pos="1418"/>
        </w:tabs>
        <w:spacing w:line="360" w:lineRule="auto"/>
        <w:ind w:left="640" w:right="-420" w:rightChars="-200" w:hanging="640"/>
        <w:rPr>
          <w:rFonts w:ascii="宋体" w:hAnsi="宋体" w:cs="宋体"/>
          <w:sz w:val="24"/>
          <w:lang w:val="fr-CH"/>
        </w:rPr>
      </w:pPr>
      <w:r>
        <w:rPr>
          <w:rFonts w:hint="eastAsia" w:ascii="宋体" w:hAnsi="宋体" w:cs="宋体"/>
          <w:sz w:val="24"/>
          <w:lang w:val="fr-CH"/>
        </w:rPr>
        <w:t>用户需求响应表；</w:t>
      </w:r>
    </w:p>
    <w:p>
      <w:pPr>
        <w:numPr>
          <w:ilvl w:val="0"/>
          <w:numId w:val="7"/>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zh-CN"/>
        </w:rPr>
        <w:t>对项目的整体理解</w:t>
      </w:r>
    </w:p>
    <w:p>
      <w:pPr>
        <w:numPr>
          <w:ilvl w:val="0"/>
          <w:numId w:val="7"/>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sq-AL"/>
        </w:rPr>
        <w:t>项目重点难点分析、应对措施及相关的合理化建</w:t>
      </w:r>
      <w:r>
        <w:rPr>
          <w:rFonts w:hint="eastAsia" w:ascii="宋体" w:hAnsi="宋体" w:cs="宋体"/>
          <w:sz w:val="24"/>
        </w:rPr>
        <w:t>议；</w:t>
      </w:r>
    </w:p>
    <w:p>
      <w:pPr>
        <w:numPr>
          <w:ilvl w:val="0"/>
          <w:numId w:val="7"/>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sq-AL"/>
        </w:rPr>
        <w:t>编制研究方法及思路</w:t>
      </w:r>
      <w:r>
        <w:rPr>
          <w:rFonts w:hint="eastAsia" w:ascii="宋体" w:hAnsi="宋体" w:cs="宋体"/>
          <w:sz w:val="24"/>
          <w:lang w:val="fr-CH"/>
        </w:rPr>
        <w:t>；</w:t>
      </w:r>
    </w:p>
    <w:p>
      <w:pPr>
        <w:numPr>
          <w:ilvl w:val="0"/>
          <w:numId w:val="7"/>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color w:val="000000"/>
          <w:kern w:val="0"/>
          <w:sz w:val="24"/>
          <w:lang w:eastAsia="zh-Hans"/>
        </w:rPr>
        <w:t>成果预设</w:t>
      </w:r>
      <w:r>
        <w:rPr>
          <w:rFonts w:hint="eastAsia" w:ascii="宋体" w:hAnsi="宋体" w:cs="宋体"/>
          <w:sz w:val="24"/>
          <w:lang w:val="fr-CH"/>
        </w:rPr>
        <w:t>；</w:t>
      </w:r>
    </w:p>
    <w:p>
      <w:pPr>
        <w:numPr>
          <w:ilvl w:val="0"/>
          <w:numId w:val="7"/>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项目进度计划；</w:t>
      </w:r>
    </w:p>
    <w:p>
      <w:pPr>
        <w:numPr>
          <w:ilvl w:val="0"/>
          <w:numId w:val="7"/>
        </w:numPr>
        <w:tabs>
          <w:tab w:val="left" w:pos="640"/>
          <w:tab w:val="left" w:pos="1260"/>
          <w:tab w:val="left" w:pos="1418"/>
        </w:tabs>
        <w:spacing w:line="360" w:lineRule="auto"/>
        <w:ind w:left="845" w:right="-420" w:rightChars="-200" w:hanging="845"/>
        <w:rPr>
          <w:rFonts w:ascii="宋体" w:hAnsi="宋体" w:cs="宋体"/>
          <w:sz w:val="24"/>
          <w:lang w:val="fr-CH"/>
        </w:rPr>
      </w:pPr>
      <w:r>
        <w:rPr>
          <w:rFonts w:hint="eastAsia" w:ascii="宋体" w:hAnsi="宋体" w:cs="宋体"/>
          <w:sz w:val="24"/>
          <w:lang w:val="fr-CH"/>
        </w:rPr>
        <w:t>投标人认为有必要提供的其他材料。</w:t>
      </w:r>
    </w:p>
    <w:p>
      <w:pPr>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1、投标一览表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ascii="宋体" w:hAnsi="宋体" w:cs="宋体"/>
                <w:sz w:val="24"/>
              </w:rPr>
            </w:pPr>
            <w:r>
              <w:rPr>
                <w:rFonts w:hint="eastAsia" w:ascii="宋体" w:hAnsi="宋体" w:cs="宋体"/>
                <w:sz w:val="24"/>
              </w:rPr>
              <w:t>项目名称</w:t>
            </w:r>
          </w:p>
        </w:tc>
        <w:tc>
          <w:tcPr>
            <w:tcW w:w="2896" w:type="dxa"/>
            <w:noWrap w:val="0"/>
            <w:vAlign w:val="center"/>
          </w:tcPr>
          <w:p>
            <w:pPr>
              <w:spacing w:after="60" w:line="360" w:lineRule="auto"/>
              <w:jc w:val="center"/>
              <w:rPr>
                <w:rFonts w:ascii="宋体" w:hAnsi="宋体" w:cs="宋体"/>
                <w:sz w:val="24"/>
              </w:rPr>
            </w:pPr>
            <w:r>
              <w:rPr>
                <w:rFonts w:hint="eastAsia" w:ascii="宋体" w:hAnsi="宋体" w:cs="宋体"/>
                <w:sz w:val="24"/>
              </w:rPr>
              <w:t>投标总价</w:t>
            </w:r>
          </w:p>
          <w:p>
            <w:pPr>
              <w:spacing w:after="60" w:line="360" w:lineRule="auto"/>
              <w:jc w:val="center"/>
              <w:rPr>
                <w:rFonts w:ascii="宋体" w:hAnsi="宋体" w:cs="宋体"/>
                <w:sz w:val="24"/>
              </w:rPr>
            </w:pPr>
            <w:r>
              <w:rPr>
                <w:rFonts w:hint="eastAsia" w:ascii="宋体" w:hAnsi="宋体" w:cs="宋体"/>
                <w:sz w:val="24"/>
              </w:rPr>
              <w:t>（人民币）</w:t>
            </w:r>
          </w:p>
        </w:tc>
        <w:tc>
          <w:tcPr>
            <w:tcW w:w="1318" w:type="dxa"/>
            <w:noWrap w:val="0"/>
            <w:vAlign w:val="center"/>
          </w:tcPr>
          <w:p>
            <w:pPr>
              <w:spacing w:after="60" w:line="360" w:lineRule="auto"/>
              <w:jc w:val="center"/>
              <w:rPr>
                <w:rFonts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ascii="宋体" w:hAnsi="宋体" w:cs="宋体"/>
                <w:sz w:val="24"/>
                <w:u w:val="single"/>
              </w:rPr>
            </w:pPr>
          </w:p>
        </w:tc>
        <w:tc>
          <w:tcPr>
            <w:tcW w:w="2896" w:type="dxa"/>
            <w:noWrap w:val="0"/>
            <w:vAlign w:val="center"/>
          </w:tcPr>
          <w:p>
            <w:pPr>
              <w:spacing w:line="360" w:lineRule="auto"/>
              <w:jc w:val="center"/>
              <w:rPr>
                <w:rFonts w:ascii="宋体" w:hAnsi="宋体" w:cs="宋体"/>
                <w:sz w:val="24"/>
                <w:u w:val="single"/>
              </w:rPr>
            </w:pPr>
          </w:p>
        </w:tc>
        <w:tc>
          <w:tcPr>
            <w:tcW w:w="1318" w:type="dxa"/>
            <w:noWrap w:val="0"/>
            <w:vAlign w:val="center"/>
          </w:tcPr>
          <w:p>
            <w:pPr>
              <w:spacing w:line="360" w:lineRule="auto"/>
              <w:jc w:val="center"/>
              <w:rPr>
                <w:rFonts w:ascii="宋体" w:hAnsi="宋体" w:cs="宋体"/>
                <w:sz w:val="24"/>
                <w:u w:val="single"/>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9"/>
      </w:pPr>
    </w:p>
    <w:p>
      <w:pPr>
        <w:tabs>
          <w:tab w:val="left" w:pos="640"/>
        </w:tabs>
        <w:rPr>
          <w:rFonts w:ascii="宋体" w:hAnsi="宋体" w:cs="宋体"/>
          <w:sz w:val="24"/>
        </w:rPr>
      </w:pPr>
      <w:r>
        <w:rPr>
          <w:rFonts w:hint="eastAsia" w:ascii="宋体" w:hAnsi="宋体" w:cs="宋体"/>
          <w:sz w:val="24"/>
        </w:rPr>
        <w:br w:type="page"/>
      </w:r>
    </w:p>
    <w:p>
      <w:pPr>
        <w:spacing w:line="360" w:lineRule="auto"/>
        <w:jc w:val="center"/>
        <w:rPr>
          <w:rFonts w:ascii="宋体" w:hAnsi="宋体" w:cs="宋体"/>
          <w:b/>
          <w:bCs/>
          <w:sz w:val="24"/>
        </w:rPr>
      </w:pPr>
      <w:r>
        <w:rPr>
          <w:rFonts w:hint="eastAsia" w:ascii="宋体" w:hAnsi="宋体" w:cs="宋体"/>
          <w:b/>
          <w:bCs/>
          <w:sz w:val="24"/>
        </w:rPr>
        <w:t>2、分类报价明细表（仅供参考）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line="360" w:lineRule="auto"/>
        <w:rPr>
          <w:rFonts w:ascii="宋体" w:hAnsi="宋体" w:cs="宋体"/>
          <w:sz w:val="24"/>
          <w:u w:val="single"/>
        </w:rPr>
      </w:pP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序号</w:t>
            </w:r>
          </w:p>
        </w:tc>
        <w:tc>
          <w:tcPr>
            <w:tcW w:w="2212" w:type="dxa"/>
            <w:noWrap w:val="0"/>
            <w:vAlign w:val="center"/>
          </w:tcPr>
          <w:p>
            <w:pPr>
              <w:pStyle w:val="13"/>
              <w:spacing w:line="360" w:lineRule="auto"/>
              <w:jc w:val="center"/>
              <w:rPr>
                <w:rFonts w:hAnsi="宋体" w:cs="宋体"/>
                <w:sz w:val="24"/>
              </w:rPr>
            </w:pPr>
            <w:r>
              <w:rPr>
                <w:rFonts w:hint="eastAsia" w:hAnsi="宋体" w:cs="宋体"/>
                <w:sz w:val="24"/>
              </w:rPr>
              <w:t>服务内容</w:t>
            </w:r>
          </w:p>
        </w:tc>
        <w:tc>
          <w:tcPr>
            <w:tcW w:w="720" w:type="dxa"/>
            <w:noWrap w:val="0"/>
            <w:vAlign w:val="center"/>
          </w:tcPr>
          <w:p>
            <w:pPr>
              <w:pStyle w:val="13"/>
              <w:spacing w:line="360" w:lineRule="auto"/>
              <w:jc w:val="center"/>
              <w:rPr>
                <w:rFonts w:hAnsi="宋体" w:cs="宋体"/>
                <w:sz w:val="24"/>
              </w:rPr>
            </w:pPr>
            <w:r>
              <w:rPr>
                <w:rFonts w:hint="eastAsia" w:hAnsi="宋体" w:cs="宋体"/>
                <w:sz w:val="24"/>
              </w:rPr>
              <w:t>单位</w:t>
            </w:r>
          </w:p>
        </w:tc>
        <w:tc>
          <w:tcPr>
            <w:tcW w:w="1800" w:type="dxa"/>
            <w:noWrap w:val="0"/>
            <w:vAlign w:val="center"/>
          </w:tcPr>
          <w:p>
            <w:pPr>
              <w:pStyle w:val="13"/>
              <w:spacing w:line="360" w:lineRule="auto"/>
              <w:jc w:val="center"/>
              <w:rPr>
                <w:rFonts w:hAnsi="宋体" w:cs="宋体"/>
                <w:sz w:val="24"/>
              </w:rPr>
            </w:pPr>
            <w:r>
              <w:rPr>
                <w:rFonts w:hint="eastAsia" w:hAnsi="宋体" w:cs="宋体"/>
                <w:sz w:val="24"/>
              </w:rPr>
              <w:t>数量（工作量）</w:t>
            </w:r>
          </w:p>
        </w:tc>
        <w:tc>
          <w:tcPr>
            <w:tcW w:w="1620" w:type="dxa"/>
            <w:noWrap w:val="0"/>
            <w:vAlign w:val="center"/>
          </w:tcPr>
          <w:p>
            <w:pPr>
              <w:pStyle w:val="13"/>
              <w:spacing w:line="360" w:lineRule="auto"/>
              <w:jc w:val="center"/>
              <w:rPr>
                <w:rFonts w:hAnsi="宋体" w:cs="宋体"/>
                <w:sz w:val="24"/>
              </w:rPr>
            </w:pPr>
            <w:r>
              <w:rPr>
                <w:rFonts w:hint="eastAsia" w:hAnsi="宋体" w:cs="宋体"/>
                <w:sz w:val="24"/>
              </w:rPr>
              <w:t>单价</w:t>
            </w:r>
          </w:p>
        </w:tc>
        <w:tc>
          <w:tcPr>
            <w:tcW w:w="1620" w:type="dxa"/>
            <w:noWrap w:val="0"/>
            <w:vAlign w:val="center"/>
          </w:tcPr>
          <w:p>
            <w:pPr>
              <w:pStyle w:val="13"/>
              <w:spacing w:line="360" w:lineRule="auto"/>
              <w:jc w:val="center"/>
              <w:rPr>
                <w:rFonts w:hAnsi="宋体" w:cs="宋体"/>
                <w:sz w:val="24"/>
              </w:rPr>
            </w:pPr>
            <w:r>
              <w:rPr>
                <w:rFonts w:hint="eastAsia" w:hAnsi="宋体" w:cs="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1</w:t>
            </w:r>
          </w:p>
        </w:tc>
        <w:tc>
          <w:tcPr>
            <w:tcW w:w="2212" w:type="dxa"/>
            <w:noWrap w:val="0"/>
            <w:vAlign w:val="center"/>
          </w:tcPr>
          <w:p>
            <w:pPr>
              <w:pStyle w:val="13"/>
              <w:spacing w:line="360" w:lineRule="auto"/>
              <w:jc w:val="center"/>
              <w:rPr>
                <w:rFonts w:hAnsi="宋体" w:cs="宋体"/>
                <w:sz w:val="24"/>
              </w:rPr>
            </w:pP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2</w:t>
            </w:r>
          </w:p>
        </w:tc>
        <w:tc>
          <w:tcPr>
            <w:tcW w:w="2212" w:type="dxa"/>
            <w:noWrap w:val="0"/>
            <w:vAlign w:val="center"/>
          </w:tcPr>
          <w:p>
            <w:pPr>
              <w:autoSpaceDE w:val="0"/>
              <w:autoSpaceDN w:val="0"/>
              <w:adjustRightInd w:val="0"/>
              <w:spacing w:line="360" w:lineRule="auto"/>
              <w:jc w:val="center"/>
              <w:rPr>
                <w:rFonts w:ascii="宋体" w:hAnsi="宋体" w:cs="宋体"/>
                <w:sz w:val="24"/>
              </w:rPr>
            </w:pP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3</w:t>
            </w:r>
          </w:p>
        </w:tc>
        <w:tc>
          <w:tcPr>
            <w:tcW w:w="2212" w:type="dxa"/>
            <w:noWrap w:val="0"/>
            <w:vAlign w:val="center"/>
          </w:tcPr>
          <w:p>
            <w:pPr>
              <w:autoSpaceDE w:val="0"/>
              <w:autoSpaceDN w:val="0"/>
              <w:adjustRightInd w:val="0"/>
              <w:spacing w:line="360" w:lineRule="auto"/>
              <w:jc w:val="center"/>
              <w:rPr>
                <w:rFonts w:ascii="宋体" w:hAnsi="宋体" w:cs="宋体"/>
                <w:sz w:val="24"/>
              </w:rPr>
            </w:pP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4</w:t>
            </w:r>
          </w:p>
        </w:tc>
        <w:tc>
          <w:tcPr>
            <w:tcW w:w="2212" w:type="dxa"/>
            <w:noWrap w:val="0"/>
            <w:vAlign w:val="center"/>
          </w:tcPr>
          <w:p>
            <w:pPr>
              <w:autoSpaceDE w:val="0"/>
              <w:autoSpaceDN w:val="0"/>
              <w:adjustRightInd w:val="0"/>
              <w:spacing w:line="360" w:lineRule="auto"/>
              <w:jc w:val="center"/>
              <w:rPr>
                <w:rFonts w:ascii="宋体" w:hAnsi="宋体" w:cs="宋体"/>
                <w:sz w:val="24"/>
              </w:rPr>
            </w:pP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5</w:t>
            </w:r>
          </w:p>
        </w:tc>
        <w:tc>
          <w:tcPr>
            <w:tcW w:w="2212" w:type="dxa"/>
            <w:noWrap w:val="0"/>
            <w:vAlign w:val="center"/>
          </w:tcPr>
          <w:p>
            <w:pPr>
              <w:autoSpaceDE w:val="0"/>
              <w:autoSpaceDN w:val="0"/>
              <w:adjustRightInd w:val="0"/>
              <w:spacing w:line="360" w:lineRule="auto"/>
              <w:jc w:val="center"/>
              <w:rPr>
                <w:rFonts w:ascii="宋体" w:hAnsi="宋体" w:cs="宋体"/>
                <w:sz w:val="24"/>
              </w:rPr>
            </w:pP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6</w:t>
            </w:r>
          </w:p>
        </w:tc>
        <w:tc>
          <w:tcPr>
            <w:tcW w:w="2212" w:type="dxa"/>
            <w:noWrap w:val="0"/>
            <w:vAlign w:val="center"/>
          </w:tcPr>
          <w:p>
            <w:pPr>
              <w:autoSpaceDE w:val="0"/>
              <w:autoSpaceDN w:val="0"/>
              <w:adjustRightInd w:val="0"/>
              <w:spacing w:line="360" w:lineRule="auto"/>
              <w:jc w:val="center"/>
              <w:rPr>
                <w:rFonts w:ascii="宋体" w:hAnsi="宋体" w:cs="宋体"/>
                <w:sz w:val="24"/>
              </w:rPr>
            </w:pP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7</w:t>
            </w:r>
          </w:p>
        </w:tc>
        <w:tc>
          <w:tcPr>
            <w:tcW w:w="2212" w:type="dxa"/>
            <w:noWrap w:val="0"/>
            <w:vAlign w:val="center"/>
          </w:tcPr>
          <w:p>
            <w:pPr>
              <w:autoSpaceDE w:val="0"/>
              <w:autoSpaceDN w:val="0"/>
              <w:adjustRightInd w:val="0"/>
              <w:spacing w:line="360" w:lineRule="auto"/>
              <w:jc w:val="center"/>
              <w:rPr>
                <w:rFonts w:ascii="宋体" w:hAnsi="宋体" w:cs="宋体"/>
                <w:sz w:val="24"/>
              </w:rPr>
            </w:pP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8</w:t>
            </w:r>
          </w:p>
        </w:tc>
        <w:tc>
          <w:tcPr>
            <w:tcW w:w="2212" w:type="dxa"/>
            <w:noWrap w:val="0"/>
            <w:vAlign w:val="center"/>
          </w:tcPr>
          <w:p>
            <w:pPr>
              <w:autoSpaceDE w:val="0"/>
              <w:autoSpaceDN w:val="0"/>
              <w:adjustRightInd w:val="0"/>
              <w:spacing w:line="360" w:lineRule="auto"/>
              <w:jc w:val="center"/>
              <w:rPr>
                <w:rFonts w:ascii="宋体" w:hAnsi="宋体" w:cs="宋体"/>
                <w:sz w:val="24"/>
              </w:rPr>
            </w:pP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9</w:t>
            </w:r>
          </w:p>
        </w:tc>
        <w:tc>
          <w:tcPr>
            <w:tcW w:w="2212" w:type="dxa"/>
            <w:noWrap w:val="0"/>
            <w:vAlign w:val="center"/>
          </w:tcPr>
          <w:p>
            <w:pPr>
              <w:autoSpaceDE w:val="0"/>
              <w:autoSpaceDN w:val="0"/>
              <w:adjustRightInd w:val="0"/>
              <w:spacing w:line="360" w:lineRule="auto"/>
              <w:jc w:val="center"/>
              <w:rPr>
                <w:rFonts w:ascii="宋体" w:hAnsi="宋体" w:cs="宋体"/>
                <w:sz w:val="24"/>
              </w:rPr>
            </w:pP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sz w:val="24"/>
              </w:rPr>
            </w:pPr>
            <w:r>
              <w:rPr>
                <w:rFonts w:hint="eastAsia" w:hAnsi="宋体" w:cs="宋体"/>
                <w:sz w:val="24"/>
              </w:rPr>
              <w:t>…</w:t>
            </w:r>
          </w:p>
        </w:tc>
        <w:tc>
          <w:tcPr>
            <w:tcW w:w="2212" w:type="dxa"/>
            <w:noWrap w:val="0"/>
            <w:vAlign w:val="center"/>
          </w:tcPr>
          <w:p>
            <w:pPr>
              <w:pStyle w:val="13"/>
              <w:spacing w:line="360" w:lineRule="auto"/>
              <w:jc w:val="center"/>
              <w:rPr>
                <w:rFonts w:hAnsi="宋体" w:cs="宋体"/>
                <w:sz w:val="24"/>
              </w:rPr>
            </w:pPr>
            <w:r>
              <w:rPr>
                <w:rFonts w:hint="eastAsia" w:hAnsi="宋体" w:cs="宋体"/>
                <w:sz w:val="24"/>
              </w:rPr>
              <w:t>…</w:t>
            </w:r>
          </w:p>
        </w:tc>
        <w:tc>
          <w:tcPr>
            <w:tcW w:w="720" w:type="dxa"/>
            <w:noWrap w:val="0"/>
            <w:vAlign w:val="center"/>
          </w:tcPr>
          <w:p>
            <w:pPr>
              <w:pStyle w:val="13"/>
              <w:spacing w:line="360" w:lineRule="auto"/>
              <w:jc w:val="center"/>
              <w:rPr>
                <w:rFonts w:hAnsi="宋体" w:cs="宋体"/>
                <w:sz w:val="24"/>
              </w:rPr>
            </w:pPr>
          </w:p>
        </w:tc>
        <w:tc>
          <w:tcPr>
            <w:tcW w:w="180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c>
          <w:tcPr>
            <w:tcW w:w="1620" w:type="dxa"/>
            <w:noWrap w:val="0"/>
            <w:vAlign w:val="center"/>
          </w:tcPr>
          <w:p>
            <w:pPr>
              <w:pStyle w:val="13"/>
              <w:spacing w:line="360"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13"/>
              <w:spacing w:line="360" w:lineRule="auto"/>
              <w:rPr>
                <w:rFonts w:hAnsi="宋体" w:cs="宋体"/>
                <w:sz w:val="24"/>
              </w:rPr>
            </w:pPr>
            <w:r>
              <w:rPr>
                <w:rFonts w:hint="eastAsia" w:hAnsi="宋体" w:cs="宋体"/>
                <w:sz w:val="24"/>
              </w:rPr>
              <w:t>报价合计</w:t>
            </w:r>
          </w:p>
        </w:tc>
      </w:tr>
    </w:tbl>
    <w:p>
      <w:pPr>
        <w:spacing w:line="360" w:lineRule="auto"/>
        <w:rPr>
          <w:rFonts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 ________________________</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p>
    <w:p>
      <w:pPr>
        <w:spacing w:line="360" w:lineRule="auto"/>
        <w:outlineLvl w:val="2"/>
        <w:rPr>
          <w:rFonts w:ascii="宋体" w:hAnsi="宋体" w:cs="宋体"/>
          <w:b/>
          <w:bCs/>
          <w:sz w:val="24"/>
          <w:u w:val="wave"/>
        </w:rPr>
      </w:pPr>
      <w:r>
        <w:rPr>
          <w:rFonts w:hint="eastAsia" w:ascii="宋体" w:hAnsi="宋体" w:cs="宋体"/>
          <w:b/>
          <w:bCs/>
          <w:sz w:val="24"/>
        </w:rPr>
        <w:br w:type="page"/>
      </w:r>
      <w:r>
        <w:rPr>
          <w:rFonts w:hint="eastAsia" w:ascii="宋体" w:hAnsi="宋体" w:cs="宋体"/>
          <w:b/>
          <w:bCs/>
          <w:sz w:val="24"/>
        </w:rPr>
        <w:t>（二）商务部分</w:t>
      </w:r>
    </w:p>
    <w:p>
      <w:pPr>
        <w:tabs>
          <w:tab w:val="left" w:pos="640"/>
          <w:tab w:val="left" w:pos="1260"/>
          <w:tab w:val="left" w:pos="1418"/>
        </w:tabs>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1、投标响应书</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一份正本四份副本以及1份电子文档的</w:t>
      </w:r>
      <w:r>
        <w:rPr>
          <w:rFonts w:hint="eastAsia" w:ascii="宋体" w:hAnsi="宋体" w:cs="宋体"/>
          <w:sz w:val="24"/>
        </w:rPr>
        <w:t>投标文件。</w:t>
      </w:r>
    </w:p>
    <w:p>
      <w:pPr>
        <w:spacing w:line="360" w:lineRule="auto"/>
        <w:rPr>
          <w:rFonts w:ascii="宋体" w:hAnsi="宋体" w:cs="宋体"/>
          <w:sz w:val="24"/>
        </w:rPr>
      </w:pPr>
      <w:r>
        <w:rPr>
          <w:rFonts w:hint="eastAsia" w:ascii="宋体" w:hAnsi="宋体" w:cs="宋体"/>
          <w:sz w:val="24"/>
        </w:rPr>
        <w:t xml:space="preserve">  据此函，签字代表宣布同意如下：</w:t>
      </w:r>
    </w:p>
    <w:p>
      <w:pPr>
        <w:spacing w:line="360" w:lineRule="auto"/>
        <w:rPr>
          <w:rFonts w:ascii="宋体" w:hAnsi="宋体" w:cs="宋体"/>
          <w:sz w:val="24"/>
        </w:rPr>
      </w:pPr>
      <w:r>
        <w:rPr>
          <w:rFonts w:hint="eastAsia" w:ascii="宋体" w:hAnsi="宋体" w:cs="宋体"/>
          <w:sz w:val="24"/>
        </w:rPr>
        <w:t>1、供应商方将按招标文件的规定履行合同责任和义务。</w:t>
      </w:r>
    </w:p>
    <w:p>
      <w:pPr>
        <w:spacing w:line="360" w:lineRule="auto"/>
        <w:rPr>
          <w:rFonts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rPr>
      </w:pPr>
      <w:r>
        <w:rPr>
          <w:rFonts w:hint="eastAsia" w:ascii="宋体" w:hAnsi="宋体" w:cs="宋体"/>
          <w:sz w:val="24"/>
        </w:rPr>
        <w:t>3、与本投标项目有关的一切正式往来通讯请寄：</w:t>
      </w:r>
    </w:p>
    <w:p>
      <w:pPr>
        <w:spacing w:line="360" w:lineRule="auto"/>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电话（手机）：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邮箱：</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9"/>
      </w:pP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br w:type="page"/>
      </w:r>
      <w:r>
        <w:rPr>
          <w:rFonts w:hint="eastAsia" w:ascii="宋体" w:hAnsi="宋体" w:cs="宋体"/>
          <w:b/>
          <w:bCs/>
          <w:sz w:val="24"/>
        </w:rPr>
        <w:t>2、</w:t>
      </w:r>
      <w:r>
        <w:rPr>
          <w:rFonts w:hint="eastAsia" w:ascii="宋体" w:hAnsi="宋体" w:cs="宋体"/>
          <w:b/>
          <w:bCs/>
          <w:sz w:val="24"/>
          <w:lang w:val="fr-CH"/>
        </w:rPr>
        <w:t>营业执照</w:t>
      </w:r>
    </w:p>
    <w:p>
      <w:pPr>
        <w:tabs>
          <w:tab w:val="left" w:pos="640"/>
          <w:tab w:val="left" w:pos="1260"/>
          <w:tab w:val="left" w:pos="1418"/>
        </w:tabs>
        <w:spacing w:line="360" w:lineRule="auto"/>
        <w:rPr>
          <w:rFonts w:ascii="宋体" w:hAnsi="宋体" w:cs="宋体"/>
          <w:sz w:val="24"/>
          <w:lang w:val="fr-CH"/>
        </w:rPr>
      </w:pPr>
      <w:r>
        <w:rPr>
          <w:rFonts w:hint="eastAsia" w:ascii="宋体" w:hAnsi="宋体" w:cs="宋体"/>
          <w:sz w:val="24"/>
          <w:lang w:val="fr-CH"/>
        </w:rPr>
        <w:t>【其他组织提供《事业单位法人证书》或《民办非企业单位登记证书》】及税务登记册证副本复印件(加盖投标人公章，若提供的营业执照为三证合一，则税务登记证可不单独提供)；</w:t>
      </w:r>
    </w:p>
    <w:p>
      <w:pPr>
        <w:spacing w:line="360" w:lineRule="auto"/>
        <w:jc w:val="center"/>
        <w:rPr>
          <w:rFonts w:hint="eastAsia" w:ascii="宋体" w:hAnsi="宋体" w:cs="宋体"/>
          <w:b/>
          <w:bCs/>
          <w:sz w:val="24"/>
          <w:lang w:val="fr-CH"/>
        </w:rPr>
      </w:pPr>
    </w:p>
    <w:p>
      <w:pPr>
        <w:spacing w:line="360" w:lineRule="auto"/>
        <w:jc w:val="center"/>
        <w:rPr>
          <w:rFonts w:ascii="宋体" w:hAnsi="宋体" w:cs="宋体"/>
          <w:b/>
          <w:bCs/>
          <w:sz w:val="24"/>
          <w:lang w:val="fr-CH"/>
        </w:rPr>
      </w:pPr>
      <w:r>
        <w:rPr>
          <w:rFonts w:hint="eastAsia" w:ascii="宋体" w:hAnsi="宋体" w:cs="宋体"/>
          <w:b/>
          <w:bCs/>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480" w:firstLineChars="200"/>
        <w:rPr>
          <w:rFonts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我单位本招标项目所提供的货物或服务未侵犯知识产权。</w:t>
      </w:r>
    </w:p>
    <w:p>
      <w:pPr>
        <w:widowControl/>
        <w:numPr>
          <w:ilvl w:val="0"/>
          <w:numId w:val="8"/>
        </w:numPr>
        <w:shd w:val="clear" w:color="auto" w:fill="FFFFFF"/>
        <w:spacing w:line="360" w:lineRule="auto"/>
        <w:ind w:right="-4" w:firstLine="480" w:firstLineChars="200"/>
        <w:jc w:val="left"/>
        <w:rPr>
          <w:rFonts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8"/>
        </w:numPr>
        <w:shd w:val="clear" w:color="auto" w:fill="FFFFFF"/>
        <w:spacing w:line="360" w:lineRule="auto"/>
        <w:ind w:right="-4" w:firstLine="480" w:firstLineChars="200"/>
        <w:jc w:val="left"/>
        <w:rPr>
          <w:rFonts w:ascii="宋体" w:hAnsi="宋体" w:cs="宋体"/>
          <w:kern w:val="0"/>
          <w:sz w:val="24"/>
        </w:rPr>
      </w:pP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我单位具备《中华人民共和国政府采购法》第二十二条第一款的条件。</w:t>
      </w:r>
    </w:p>
    <w:p>
      <w:pPr>
        <w:numPr>
          <w:ilvl w:val="0"/>
          <w:numId w:val="8"/>
        </w:numPr>
        <w:spacing w:line="360" w:lineRule="auto"/>
        <w:ind w:firstLine="480" w:firstLineChars="200"/>
        <w:rPr>
          <w:rFonts w:ascii="宋体" w:hAnsi="宋体" w:cs="宋体"/>
          <w:sz w:val="24"/>
        </w:rPr>
      </w:pPr>
      <w:r>
        <w:rPr>
          <w:rFonts w:hint="eastAsia" w:ascii="宋体" w:hAnsi="宋体" w:cs="宋体"/>
          <w:kern w:val="0"/>
          <w:sz w:val="24"/>
          <w:lang w:bidi="ar"/>
        </w:rPr>
        <w:t>符合财政部和深圳市财政局关于诚信管理的要求，</w:t>
      </w:r>
      <w:r>
        <w:rPr>
          <w:rFonts w:hint="eastAsia" w:ascii="宋体" w:hAnsi="宋体" w:cs="宋体"/>
          <w:kern w:val="0"/>
          <w:sz w:val="24"/>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sz w:val="24"/>
        </w:rPr>
        <w:t>。</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我单位如果中标，做到诚实守信，依照本项目招标文件需求内容、签署的采购合同及本单位在投标中所作的一切承诺履约；不非法转包、分包。</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我单位承诺未参与本项目的采购需求、技术指标、商务指标等内容的设定，不存在对其他投标单位不公平的行为。</w:t>
      </w:r>
    </w:p>
    <w:p>
      <w:pPr>
        <w:numPr>
          <w:ilvl w:val="0"/>
          <w:numId w:val="8"/>
        </w:numPr>
        <w:spacing w:line="360" w:lineRule="auto"/>
        <w:ind w:firstLine="480" w:firstLineChars="200"/>
        <w:rPr>
          <w:rFonts w:ascii="宋体" w:hAnsi="宋体" w:cs="宋体"/>
          <w:sz w:val="24"/>
        </w:rPr>
      </w:pPr>
      <w:r>
        <w:rPr>
          <w:rFonts w:hint="eastAsia" w:ascii="宋体" w:hAnsi="宋体" w:cs="宋体"/>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ascii="宋体" w:hAnsi="宋体" w:cs="宋体"/>
          <w:sz w:val="24"/>
        </w:rPr>
      </w:pP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cs="宋体"/>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cs="宋体"/>
          <w:sz w:val="24"/>
        </w:rPr>
        <w:t>投标供应商名称（盖章）：</w:t>
      </w:r>
    </w:p>
    <w:p>
      <w:pPr>
        <w:tabs>
          <w:tab w:val="left" w:pos="4860"/>
        </w:tabs>
        <w:adjustRightInd w:val="0"/>
        <w:snapToGrid w:val="0"/>
        <w:spacing w:line="360" w:lineRule="auto"/>
        <w:ind w:right="105" w:rightChars="50" w:firstLine="240" w:firstLineChars="100"/>
        <w:rPr>
          <w:rFonts w:ascii="宋体" w:hAnsi="宋体" w:cs="宋体"/>
          <w:sz w:val="24"/>
        </w:rPr>
      </w:pPr>
      <w:r>
        <w:rPr>
          <w:rFonts w:hint="eastAsia" w:ascii="宋体" w:hAnsi="宋体" w:cs="宋体"/>
          <w:sz w:val="24"/>
        </w:rPr>
        <w:t>日期：   年  月   日</w:t>
      </w:r>
    </w:p>
    <w:p>
      <w:pPr>
        <w:pStyle w:val="9"/>
        <w:spacing w:line="560" w:lineRule="exact"/>
        <w:jc w:val="center"/>
        <w:rPr>
          <w:b/>
          <w:lang w:val="fr-CH"/>
        </w:rPr>
      </w:pPr>
      <w:r>
        <w:rPr>
          <w:rFonts w:hint="eastAsia" w:hAnsi="宋体" w:cs="宋体"/>
        </w:rPr>
        <w:br w:type="page"/>
      </w:r>
      <w:r>
        <w:rPr>
          <w:rFonts w:hint="eastAsia"/>
          <w:b/>
        </w:rPr>
        <w:t>4</w:t>
      </w:r>
      <w:r>
        <w:rPr>
          <w:rFonts w:hint="eastAsia"/>
          <w:b/>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tabs>
          <w:tab w:val="left" w:pos="640"/>
          <w:tab w:val="left" w:pos="1260"/>
          <w:tab w:val="left" w:pos="1418"/>
        </w:tabs>
        <w:spacing w:line="360" w:lineRule="auto"/>
        <w:rPr>
          <w:rFonts w:ascii="宋体" w:hAnsi="宋体" w:cs="宋体"/>
          <w:sz w:val="24"/>
          <w:lang w:val="fr-CH"/>
        </w:rPr>
      </w:pPr>
      <w:r>
        <w:rPr>
          <w:rFonts w:hint="eastAsia"/>
          <w:sz w:val="24"/>
          <w:lang w:val="fr-CH"/>
        </w:rPr>
        <w:t>日期：</w:t>
      </w:r>
    </w:p>
    <w:p>
      <w:pPr>
        <w:spacing w:line="360" w:lineRule="auto"/>
        <w:jc w:val="center"/>
        <w:rPr>
          <w:rFonts w:hint="eastAsia" w:ascii="宋体" w:hAnsi="宋体" w:cs="宋体"/>
          <w:b/>
          <w:bCs/>
          <w:sz w:val="24"/>
          <w:lang w:val="fr-CH"/>
        </w:rPr>
      </w:pPr>
    </w:p>
    <w:p>
      <w:pPr>
        <w:spacing w:line="360" w:lineRule="auto"/>
        <w:jc w:val="center"/>
        <w:rPr>
          <w:rFonts w:ascii="宋体" w:hAnsi="宋体" w:cs="宋体"/>
          <w:b/>
          <w:bCs/>
          <w:sz w:val="24"/>
        </w:rPr>
      </w:pPr>
      <w:r>
        <w:rPr>
          <w:rFonts w:hint="eastAsia" w:ascii="宋体" w:hAnsi="宋体" w:cs="宋体"/>
          <w:b/>
          <w:bCs/>
          <w:sz w:val="24"/>
          <w:lang w:val="fr-CH"/>
        </w:rPr>
        <w:br w:type="page"/>
      </w:r>
      <w:r>
        <w:rPr>
          <w:rFonts w:hint="eastAsia" w:ascii="宋体" w:hAnsi="宋体" w:cs="宋体"/>
          <w:b/>
          <w:bCs/>
          <w:sz w:val="24"/>
        </w:rPr>
        <w:t>5、关于资格的声明函</w:t>
      </w: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566" w:firstLineChars="236"/>
        <w:rPr>
          <w:rFonts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rPr>
      </w:pPr>
      <w:r>
        <w:rPr>
          <w:rFonts w:hint="eastAsia" w:ascii="宋体" w:hAnsi="宋体" w:cs="宋体"/>
          <w:sz w:val="24"/>
        </w:rPr>
        <w:t>特此承诺！</w:t>
      </w:r>
    </w:p>
    <w:p>
      <w:pPr>
        <w:spacing w:line="360" w:lineRule="auto"/>
        <w:ind w:left="420"/>
        <w:rPr>
          <w:rFonts w:ascii="宋体" w:hAnsi="宋体" w:cs="宋体"/>
          <w:sz w:val="24"/>
        </w:rPr>
      </w:pPr>
    </w:p>
    <w:p>
      <w:pPr>
        <w:tabs>
          <w:tab w:val="left" w:pos="4860"/>
        </w:tabs>
        <w:adjustRightInd w:val="0"/>
        <w:snapToGrid w:val="0"/>
        <w:spacing w:line="360" w:lineRule="auto"/>
        <w:ind w:right="105" w:rightChars="50"/>
        <w:rPr>
          <w:rFonts w:ascii="宋体" w:hAnsi="宋体" w:cs="宋体"/>
          <w:sz w:val="24"/>
        </w:rPr>
      </w:pPr>
      <w:r>
        <w:rPr>
          <w:rFonts w:hint="eastAsia" w:ascii="宋体" w:hAnsi="宋体" w:cs="宋体"/>
          <w:sz w:val="24"/>
        </w:rPr>
        <w:t>投标供应商名称（盖章）：</w:t>
      </w:r>
    </w:p>
    <w:p>
      <w:pPr>
        <w:spacing w:line="360" w:lineRule="auto"/>
        <w:rPr>
          <w:rFonts w:ascii="宋体" w:hAnsi="宋体" w:cs="宋体"/>
          <w:kern w:val="0"/>
          <w:sz w:val="24"/>
        </w:rPr>
      </w:pPr>
      <w:r>
        <w:rPr>
          <w:rFonts w:hint="eastAsia" w:ascii="宋体" w:hAnsi="宋体" w:cs="宋体"/>
          <w:sz w:val="24"/>
        </w:rPr>
        <w:t>日期：   年     月     日</w:t>
      </w:r>
    </w:p>
    <w:p>
      <w:pPr>
        <w:tabs>
          <w:tab w:val="left" w:pos="640"/>
          <w:tab w:val="left" w:pos="1260"/>
          <w:tab w:val="left" w:pos="1418"/>
        </w:tabs>
        <w:spacing w:line="360" w:lineRule="auto"/>
        <w:rPr>
          <w:rFonts w:ascii="宋体" w:hAnsi="宋体" w:cs="宋体"/>
          <w:sz w:val="24"/>
          <w:lang w:val="fr-CH"/>
        </w:rPr>
      </w:pPr>
    </w:p>
    <w:p>
      <w:pPr>
        <w:spacing w:before="120" w:after="120" w:line="360" w:lineRule="auto"/>
        <w:jc w:val="center"/>
        <w:rPr>
          <w:rFonts w:ascii="宋体" w:hAnsi="宋体" w:cs="宋体"/>
          <w:b/>
          <w:sz w:val="24"/>
        </w:rPr>
      </w:pPr>
    </w:p>
    <w:p>
      <w:pPr>
        <w:spacing w:before="120" w:after="120" w:line="360" w:lineRule="auto"/>
        <w:jc w:val="center"/>
        <w:rPr>
          <w:rFonts w:hint="eastAsia" w:ascii="宋体" w:hAnsi="宋体" w:cs="宋体"/>
          <w:b/>
          <w:sz w:val="24"/>
        </w:rPr>
      </w:pPr>
    </w:p>
    <w:p>
      <w:pPr>
        <w:spacing w:before="100" w:beforeAutospacing="1" w:after="100" w:afterAutospacing="1" w:line="360" w:lineRule="auto"/>
        <w:rPr>
          <w:rFonts w:ascii="宋体" w:hAnsi="宋体" w:cs="宋体"/>
          <w:sz w:val="24"/>
          <w:u w:val="single"/>
        </w:rPr>
      </w:pPr>
      <w:r>
        <w:rPr>
          <w:rFonts w:hint="eastAsia" w:ascii="宋体" w:hAnsi="宋体" w:cs="宋体"/>
          <w:b/>
          <w:sz w:val="24"/>
        </w:rPr>
        <w:br w:type="page"/>
      </w:r>
      <w:r>
        <w:rPr>
          <w:rFonts w:hint="eastAsia" w:ascii="宋体" w:hAnsi="宋体" w:cs="宋体"/>
          <w:b/>
          <w:sz w:val="24"/>
        </w:rPr>
        <w:t>6、法定代表人</w:t>
      </w:r>
      <w:r>
        <w:rPr>
          <w:rFonts w:hint="eastAsia" w:ascii="宋体" w:hAnsi="宋体" w:cs="宋体"/>
          <w:b/>
          <w:sz w:val="24"/>
          <w:lang w:val="fr-CH"/>
        </w:rPr>
        <w:t>/单位负责人</w:t>
      </w:r>
      <w:r>
        <w:rPr>
          <w:rFonts w:hint="eastAsia" w:ascii="宋体" w:hAnsi="宋体" w:cs="宋体"/>
          <w:b/>
          <w:sz w:val="24"/>
        </w:rPr>
        <w:t>证明书</w:t>
      </w:r>
      <w:r>
        <w:rPr>
          <w:rFonts w:hint="eastAsia" w:ascii="宋体" w:hAnsi="宋体" w:cs="宋体"/>
          <w:b/>
          <w:sz w:val="24"/>
          <w:lang w:val="fr-CH"/>
        </w:rPr>
        <w:t>及身份证明</w:t>
      </w:r>
    </w:p>
    <w:p>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同志，现任我单位职务，为法定代表人，特此证明。</w:t>
      </w:r>
    </w:p>
    <w:p>
      <w:pPr>
        <w:spacing w:line="360" w:lineRule="auto"/>
        <w:rPr>
          <w:rFonts w:ascii="宋体" w:hAnsi="宋体" w:cs="宋体"/>
          <w:sz w:val="24"/>
        </w:rPr>
      </w:pPr>
      <w:r>
        <w:rPr>
          <w:rFonts w:hint="eastAsia" w:ascii="宋体" w:hAnsi="宋体" w:cs="宋体"/>
          <w:sz w:val="24"/>
        </w:rPr>
        <w:t xml:space="preserve">签发日期：             有效日期：         单位：              </w:t>
      </w:r>
    </w:p>
    <w:p>
      <w:pPr>
        <w:spacing w:line="360" w:lineRule="auto"/>
        <w:rPr>
          <w:rFonts w:ascii="宋体" w:hAnsi="宋体" w:cs="宋体"/>
          <w:sz w:val="24"/>
        </w:rPr>
      </w:pPr>
      <w:r>
        <w:rPr>
          <w:rFonts w:hint="eastAsia" w:ascii="宋体" w:hAnsi="宋体" w:cs="宋体"/>
          <w:sz w:val="24"/>
        </w:rPr>
        <w:t>附：代表人性别：   年龄：      身份证号码：</w:t>
      </w:r>
    </w:p>
    <w:p>
      <w:pPr>
        <w:spacing w:line="360" w:lineRule="auto"/>
        <w:rPr>
          <w:rFonts w:ascii="宋体" w:hAnsi="宋体" w:cs="宋体"/>
          <w:sz w:val="24"/>
        </w:rPr>
      </w:pPr>
      <w:r>
        <w:rPr>
          <w:rFonts w:hint="eastAsia" w:ascii="宋体" w:hAnsi="宋体" w:cs="宋体"/>
          <w:sz w:val="24"/>
        </w:rPr>
        <w:t>营业执照号码：                 经济性质：</w:t>
      </w:r>
    </w:p>
    <w:p>
      <w:pPr>
        <w:spacing w:line="360" w:lineRule="auto"/>
        <w:rPr>
          <w:rFonts w:ascii="宋体" w:hAnsi="宋体" w:cs="宋体"/>
          <w:sz w:val="24"/>
        </w:rPr>
      </w:pPr>
      <w:r>
        <w:rPr>
          <w:rFonts w:hint="eastAsia" w:ascii="宋体" w:hAnsi="宋体" w:cs="宋体"/>
          <w:sz w:val="24"/>
        </w:rPr>
        <w:t>主营（产）：</w:t>
      </w:r>
    </w:p>
    <w:p>
      <w:pPr>
        <w:spacing w:line="360" w:lineRule="auto"/>
        <w:rPr>
          <w:rFonts w:ascii="宋体" w:hAnsi="宋体" w:cs="宋体"/>
          <w:sz w:val="24"/>
        </w:rPr>
      </w:pPr>
      <w:r>
        <w:rPr>
          <w:rFonts w:hint="eastAsia" w:ascii="宋体" w:hAnsi="宋体" w:cs="宋体"/>
          <w:sz w:val="24"/>
        </w:rPr>
        <w:t>兼营（产）：</w:t>
      </w:r>
    </w:p>
    <w:p>
      <w:pPr>
        <w:spacing w:line="360" w:lineRule="auto"/>
        <w:rPr>
          <w:rFonts w:ascii="宋体" w:hAnsi="宋体" w:cs="宋体"/>
          <w:sz w:val="24"/>
        </w:rPr>
      </w:pPr>
      <w:r>
        <w:rPr>
          <w:rFonts w:hint="eastAsia" w:ascii="宋体" w:hAnsi="宋体" w:cs="宋体"/>
          <w:sz w:val="24"/>
        </w:rPr>
        <w:t>进口物品经营许可证号码：</w:t>
      </w:r>
    </w:p>
    <w:p>
      <w:pPr>
        <w:spacing w:line="360" w:lineRule="auto"/>
        <w:rPr>
          <w:rFonts w:ascii="宋体" w:hAnsi="宋体" w:cs="宋体"/>
          <w:sz w:val="24"/>
        </w:rPr>
      </w:pPr>
      <w:r>
        <w:rPr>
          <w:rFonts w:hint="eastAsia" w:ascii="宋体" w:hAnsi="宋体" w:cs="宋体"/>
          <w:sz w:val="24"/>
        </w:rPr>
        <w:t>主营：</w:t>
      </w:r>
    </w:p>
    <w:p>
      <w:pPr>
        <w:spacing w:line="360" w:lineRule="auto"/>
        <w:rPr>
          <w:rFonts w:ascii="宋体" w:hAnsi="宋体" w:cs="宋体"/>
          <w:sz w:val="24"/>
        </w:rPr>
      </w:pPr>
      <w:r>
        <w:rPr>
          <w:rFonts w:hint="eastAsia" w:ascii="宋体" w:hAnsi="宋体" w:cs="宋体"/>
          <w:sz w:val="24"/>
        </w:rPr>
        <w:t>兼营：</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rPr>
          <w:rFonts w:ascii="宋体" w:hAnsi="宋体" w:cs="宋体"/>
          <w:sz w:val="24"/>
        </w:rPr>
      </w:pPr>
      <w:r>
        <w:rPr>
          <w:rFonts w:hint="eastAsia" w:ascii="宋体" w:hAnsi="宋体" w:cs="宋体"/>
          <w:sz w:val="24"/>
        </w:rPr>
        <w:t xml:space="preserve">      2、内容必须填写真实、清楚，涂改无效，不得转让、买卖。</w:t>
      </w: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ascii="宋体" w:hAnsi="宋体" w:cs="宋体"/>
          <w:b/>
          <w:bCs/>
          <w:sz w:val="24"/>
        </w:rPr>
      </w:pPr>
      <w:r>
        <w:rPr>
          <w:rFonts w:hint="eastAsia" w:ascii="宋体" w:hAnsi="宋体" w:cs="宋体"/>
          <w:b/>
          <w:bCs/>
          <w:sz w:val="24"/>
        </w:rPr>
        <w:t>投标供应商名称（盖章）：</w:t>
      </w:r>
    </w:p>
    <w:p>
      <w:pPr>
        <w:tabs>
          <w:tab w:val="left" w:pos="3780"/>
        </w:tabs>
        <w:spacing w:line="360" w:lineRule="auto"/>
        <w:rPr>
          <w:rFonts w:hint="eastAsia" w:ascii="宋体" w:hAnsi="宋体" w:cs="宋体"/>
          <w:sz w:val="24"/>
        </w:rPr>
      </w:pPr>
    </w:p>
    <w:p>
      <w:pPr>
        <w:tabs>
          <w:tab w:val="left" w:pos="3780"/>
        </w:tabs>
        <w:spacing w:line="360" w:lineRule="auto"/>
        <w:rPr>
          <w:rFonts w:ascii="宋体" w:hAnsi="宋体" w:cs="宋体"/>
          <w:b/>
          <w:bCs/>
          <w:sz w:val="24"/>
        </w:rPr>
      </w:pPr>
      <w:r>
        <w:rPr>
          <w:rFonts w:hint="eastAsia" w:ascii="宋体" w:hAnsi="宋体" w:cs="宋体"/>
          <w:b/>
          <w:bCs/>
          <w:sz w:val="24"/>
        </w:rPr>
        <w:t>法定代表人/单位负责人（签字或签章）：</w:t>
      </w:r>
    </w:p>
    <w:p>
      <w:pPr>
        <w:spacing w:before="120" w:after="120"/>
        <w:jc w:val="left"/>
        <w:rPr>
          <w:rFonts w:ascii="宋体" w:hAnsi="宋体" w:cs="宋体"/>
          <w:szCs w:val="21"/>
        </w:rPr>
      </w:pPr>
    </w:p>
    <w:p>
      <w:pPr>
        <w:spacing w:before="120" w:after="120" w:line="360" w:lineRule="auto"/>
        <w:jc w:val="left"/>
        <w:rPr>
          <w:rFonts w:ascii="宋体" w:hAnsi="宋体" w:cs="宋体"/>
          <w:b/>
          <w:sz w:val="24"/>
        </w:rPr>
      </w:pPr>
      <w:r>
        <w:rPr>
          <w:rFonts w:hint="eastAsia" w:ascii="宋体" w:hAnsi="宋体" w:cs="宋体"/>
          <w:b/>
          <w:sz w:val="24"/>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13"/>
              <w:spacing w:line="360" w:lineRule="auto"/>
              <w:rPr>
                <w:rFonts w:ascii="Arial Narrow" w:hAnsi="Arial Narrow"/>
                <w:b/>
                <w:bCs/>
                <w:szCs w:val="21"/>
              </w:rPr>
            </w:pPr>
          </w:p>
        </w:tc>
        <w:tc>
          <w:tcPr>
            <w:tcW w:w="4240" w:type="dxa"/>
            <w:noWrap w:val="0"/>
            <w:vAlign w:val="top"/>
          </w:tcPr>
          <w:p>
            <w:pPr>
              <w:pStyle w:val="13"/>
              <w:spacing w:line="360" w:lineRule="auto"/>
              <w:rPr>
                <w:rFonts w:ascii="Arial Narrow" w:hAnsi="Arial Narrow"/>
                <w:b/>
                <w:bCs/>
                <w:szCs w:val="21"/>
              </w:rPr>
            </w:pPr>
          </w:p>
        </w:tc>
      </w:tr>
    </w:tbl>
    <w:p>
      <w:pPr>
        <w:tabs>
          <w:tab w:val="left" w:pos="640"/>
          <w:tab w:val="left" w:pos="1260"/>
          <w:tab w:val="left" w:pos="1418"/>
        </w:tabs>
        <w:spacing w:line="360" w:lineRule="auto"/>
        <w:rPr>
          <w:rFonts w:ascii="宋体" w:hAnsi="宋体" w:cs="宋体"/>
          <w:sz w:val="24"/>
          <w:lang w:val="fr-CH"/>
        </w:rPr>
      </w:pPr>
    </w:p>
    <w:p>
      <w:pPr>
        <w:pStyle w:val="13"/>
        <w:spacing w:line="360" w:lineRule="auto"/>
        <w:jc w:val="center"/>
        <w:rPr>
          <w:rFonts w:hAnsi="宋体" w:cs="宋体"/>
          <w:b/>
          <w:sz w:val="24"/>
        </w:rPr>
      </w:pPr>
    </w:p>
    <w:p>
      <w:pPr>
        <w:pStyle w:val="13"/>
        <w:spacing w:line="360" w:lineRule="auto"/>
        <w:jc w:val="center"/>
        <w:rPr>
          <w:rFonts w:hAnsi="宋体" w:cs="宋体"/>
          <w:b/>
          <w:sz w:val="24"/>
        </w:rPr>
      </w:pPr>
      <w:r>
        <w:rPr>
          <w:rFonts w:hint="eastAsia" w:hAnsi="宋体" w:cs="宋体"/>
          <w:b/>
          <w:sz w:val="24"/>
        </w:rPr>
        <w:br w:type="page"/>
      </w:r>
      <w:r>
        <w:rPr>
          <w:rFonts w:hint="eastAsia" w:hAnsi="宋体" w:cs="宋体"/>
          <w:b/>
          <w:sz w:val="24"/>
        </w:rPr>
        <w:t>7、法定代表人授权书</w:t>
      </w:r>
      <w:r>
        <w:rPr>
          <w:rFonts w:hint="eastAsia" w:hAnsi="宋体" w:cs="宋体"/>
          <w:b/>
          <w:sz w:val="24"/>
          <w:lang w:val="fr-CH"/>
        </w:rPr>
        <w:t>/单位负责人授权书及身份证明</w:t>
      </w:r>
    </w:p>
    <w:p>
      <w:pPr>
        <w:pStyle w:val="13"/>
        <w:spacing w:line="360" w:lineRule="auto"/>
        <w:rPr>
          <w:rFonts w:hAnsi="宋体" w:cs="宋体"/>
          <w:sz w:val="24"/>
        </w:rPr>
      </w:pPr>
    </w:p>
    <w:p>
      <w:pPr>
        <w:pStyle w:val="13"/>
        <w:spacing w:line="360" w:lineRule="auto"/>
        <w:rPr>
          <w:rFonts w:hAnsi="宋体" w:cs="宋体"/>
          <w:sz w:val="24"/>
        </w:rPr>
      </w:pPr>
      <w:r>
        <w:rPr>
          <w:rFonts w:hint="eastAsia" w:hAnsi="宋体" w:cs="宋体"/>
          <w:b/>
          <w:sz w:val="24"/>
        </w:rPr>
        <w:t>深圳市前海深港现代服务业合作区管理局：</w:t>
      </w:r>
    </w:p>
    <w:p>
      <w:pPr>
        <w:pStyle w:val="13"/>
        <w:spacing w:line="360" w:lineRule="auto"/>
        <w:ind w:firstLine="420"/>
        <w:rPr>
          <w:rFonts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3"/>
        <w:spacing w:line="360" w:lineRule="auto"/>
        <w:rPr>
          <w:rFonts w:hAnsi="宋体" w:cs="宋体"/>
          <w:sz w:val="24"/>
        </w:rPr>
      </w:pPr>
    </w:p>
    <w:p>
      <w:pPr>
        <w:spacing w:line="360" w:lineRule="auto"/>
        <w:ind w:firstLine="570"/>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ascii="宋体" w:hAnsi="宋体" w:cs="宋体"/>
          <w:sz w:val="24"/>
        </w:rPr>
      </w:pPr>
      <w:r>
        <w:rPr>
          <w:rFonts w:hint="eastAsia" w:ascii="宋体" w:hAnsi="宋体" w:cs="宋体"/>
          <w:sz w:val="24"/>
        </w:rPr>
        <w:t>被授权人邮箱号：</w:t>
      </w:r>
    </w:p>
    <w:p>
      <w:pPr>
        <w:spacing w:line="360" w:lineRule="auto"/>
        <w:rPr>
          <w:rFonts w:ascii="宋体" w:hAnsi="宋体" w:cs="宋体"/>
          <w:sz w:val="24"/>
        </w:rPr>
      </w:pPr>
    </w:p>
    <w:p>
      <w:pPr>
        <w:tabs>
          <w:tab w:val="left" w:pos="3780"/>
        </w:tabs>
        <w:spacing w:line="360" w:lineRule="auto"/>
        <w:jc w:val="left"/>
        <w:rPr>
          <w:rFonts w:hint="eastAsia" w:ascii="宋体" w:hAnsi="宋体" w:cs="宋体"/>
          <w:sz w:val="24"/>
        </w:rPr>
      </w:pPr>
    </w:p>
    <w:p>
      <w:pPr>
        <w:tabs>
          <w:tab w:val="left" w:pos="3780"/>
        </w:tabs>
        <w:spacing w:line="360" w:lineRule="auto"/>
        <w:jc w:val="left"/>
        <w:rPr>
          <w:rFonts w:ascii="宋体" w:hAnsi="宋体" w:cs="宋体"/>
          <w:b/>
          <w:bCs/>
          <w:sz w:val="24"/>
        </w:rPr>
      </w:pPr>
      <w:r>
        <w:rPr>
          <w:rFonts w:hint="eastAsia" w:ascii="宋体" w:hAnsi="宋体" w:cs="宋体"/>
          <w:b/>
          <w:bCs/>
          <w:sz w:val="24"/>
        </w:rPr>
        <w:t>投标供应商名称（盖章）：</w:t>
      </w:r>
    </w:p>
    <w:p>
      <w:pPr>
        <w:tabs>
          <w:tab w:val="left" w:pos="3780"/>
        </w:tabs>
        <w:spacing w:line="360" w:lineRule="auto"/>
        <w:jc w:val="left"/>
        <w:rPr>
          <w:rFonts w:ascii="宋体" w:hAnsi="宋体" w:cs="宋体"/>
          <w:b/>
          <w:bCs/>
          <w:sz w:val="24"/>
        </w:rPr>
      </w:pPr>
      <w:r>
        <w:rPr>
          <w:rFonts w:hint="eastAsia" w:ascii="宋体" w:hAnsi="宋体" w:cs="宋体"/>
          <w:b/>
          <w:bCs/>
          <w:sz w:val="24"/>
        </w:rPr>
        <w:t>法定代表人/单位负责人（签字或签章）：</w:t>
      </w:r>
    </w:p>
    <w:p>
      <w:pPr>
        <w:tabs>
          <w:tab w:val="left" w:pos="3780"/>
        </w:tabs>
        <w:spacing w:line="360" w:lineRule="auto"/>
        <w:jc w:val="left"/>
        <w:rPr>
          <w:rFonts w:ascii="宋体" w:hAnsi="宋体" w:cs="宋体"/>
          <w:b/>
          <w:bCs/>
          <w:sz w:val="24"/>
        </w:rPr>
      </w:pPr>
      <w:r>
        <w:rPr>
          <w:rFonts w:hint="eastAsia" w:ascii="宋体" w:hAnsi="宋体" w:cs="宋体"/>
          <w:b/>
          <w:bCs/>
          <w:sz w:val="24"/>
        </w:rPr>
        <w:t>被授权人代表（签字或签章）：</w:t>
      </w:r>
    </w:p>
    <w:p>
      <w:pPr>
        <w:tabs>
          <w:tab w:val="left" w:pos="640"/>
          <w:tab w:val="left" w:pos="1260"/>
          <w:tab w:val="left" w:pos="1418"/>
        </w:tabs>
        <w:spacing w:line="360" w:lineRule="auto"/>
        <w:rPr>
          <w:rFonts w:ascii="宋体" w:hAnsi="宋体" w:cs="宋体"/>
          <w:b/>
          <w:sz w:val="24"/>
        </w:rPr>
      </w:pPr>
    </w:p>
    <w:p>
      <w:pPr>
        <w:tabs>
          <w:tab w:val="left" w:pos="640"/>
          <w:tab w:val="left" w:pos="1260"/>
          <w:tab w:val="left" w:pos="1418"/>
        </w:tabs>
        <w:spacing w:line="360" w:lineRule="auto"/>
        <w:rPr>
          <w:rFonts w:ascii="宋体" w:hAnsi="宋体" w:cs="宋体"/>
          <w:b/>
          <w:sz w:val="24"/>
        </w:rPr>
      </w:pPr>
      <w:r>
        <w:rPr>
          <w:rFonts w:hint="eastAsia" w:ascii="宋体" w:hAnsi="宋体" w:cs="宋体"/>
          <w:b/>
          <w:sz w:val="24"/>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13"/>
              <w:spacing w:line="360" w:lineRule="auto"/>
              <w:rPr>
                <w:rFonts w:ascii="Arial Narrow" w:hAnsi="Arial Narrow"/>
                <w:b/>
                <w:bCs/>
                <w:szCs w:val="21"/>
              </w:rPr>
            </w:pPr>
          </w:p>
        </w:tc>
        <w:tc>
          <w:tcPr>
            <w:tcW w:w="4677" w:type="dxa"/>
            <w:noWrap w:val="0"/>
            <w:vAlign w:val="top"/>
          </w:tcPr>
          <w:p>
            <w:pPr>
              <w:pStyle w:val="13"/>
              <w:spacing w:line="360" w:lineRule="auto"/>
              <w:rPr>
                <w:rFonts w:ascii="Arial Narrow" w:hAnsi="Arial Narrow"/>
                <w:b/>
                <w:bCs/>
                <w:szCs w:val="21"/>
              </w:rPr>
            </w:pPr>
          </w:p>
        </w:tc>
      </w:tr>
    </w:tbl>
    <w:p>
      <w:pPr>
        <w:tabs>
          <w:tab w:val="left" w:pos="640"/>
          <w:tab w:val="left" w:pos="1260"/>
          <w:tab w:val="left" w:pos="1418"/>
        </w:tabs>
        <w:spacing w:line="360" w:lineRule="auto"/>
        <w:rPr>
          <w:rFonts w:ascii="宋体" w:hAnsi="宋体" w:cs="宋体"/>
          <w:b/>
          <w:bCs/>
          <w:sz w:val="24"/>
          <w:lang w:val="fr-CH"/>
        </w:rPr>
      </w:pPr>
    </w:p>
    <w:p>
      <w:pPr>
        <w:widowControl/>
        <w:autoSpaceDE w:val="0"/>
        <w:autoSpaceDN w:val="0"/>
        <w:spacing w:line="360" w:lineRule="auto"/>
        <w:ind w:left="359" w:right="26" w:hanging="357"/>
        <w:jc w:val="center"/>
        <w:textAlignment w:val="bottom"/>
        <w:rPr>
          <w:rFonts w:ascii="宋体" w:hAnsi="宋体" w:cs="宋体"/>
          <w:b/>
          <w:bCs/>
          <w:sz w:val="24"/>
          <w:lang w:val="fr-CH"/>
        </w:rPr>
      </w:pPr>
      <w:r>
        <w:rPr>
          <w:rFonts w:hint="eastAsia" w:ascii="宋体" w:hAnsi="宋体" w:cs="宋体"/>
          <w:b/>
          <w:bCs/>
          <w:sz w:val="24"/>
        </w:rPr>
        <w:br w:type="page"/>
      </w:r>
      <w:r>
        <w:rPr>
          <w:rFonts w:hint="eastAsia" w:ascii="宋体" w:hAnsi="宋体" w:cs="宋体"/>
          <w:b/>
          <w:bCs/>
          <w:sz w:val="24"/>
        </w:rPr>
        <w:t>8、</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致：深圳国际招标咨询有限公司</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sz w:val="24"/>
          <w:u w:val="single"/>
        </w:rPr>
        <w:t>招标文件中的规定</w:t>
      </w:r>
      <w:r>
        <w:rPr>
          <w:rFonts w:hint="eastAsia" w:ascii="宋体" w:hAnsi="宋体" w:cs="宋体"/>
          <w:sz w:val="24"/>
        </w:rPr>
        <w:t>计算。</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特此承诺。</w:t>
      </w:r>
    </w:p>
    <w:p>
      <w:pPr>
        <w:tabs>
          <w:tab w:val="left" w:pos="3780"/>
        </w:tabs>
        <w:spacing w:line="360" w:lineRule="auto"/>
        <w:jc w:val="left"/>
        <w:rPr>
          <w:rFonts w:ascii="宋体" w:hAnsi="宋体" w:cs="宋体"/>
          <w:sz w:val="24"/>
        </w:rPr>
      </w:pPr>
    </w:p>
    <w:p>
      <w:pPr>
        <w:tabs>
          <w:tab w:val="left" w:pos="3780"/>
        </w:tabs>
        <w:spacing w:line="360" w:lineRule="auto"/>
        <w:jc w:val="left"/>
        <w:rPr>
          <w:rFonts w:ascii="宋体" w:hAnsi="宋体" w:cs="宋体"/>
          <w:sz w:val="24"/>
        </w:rPr>
      </w:pPr>
      <w:r>
        <w:rPr>
          <w:rFonts w:hint="eastAsia" w:ascii="宋体" w:hAnsi="宋体" w:cs="宋体"/>
          <w:sz w:val="24"/>
        </w:rPr>
        <w:t>投标供应商名称（盖章）：</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投标供应商地址：</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传真：</w:t>
      </w:r>
    </w:p>
    <w:p>
      <w:pPr>
        <w:spacing w:line="360" w:lineRule="auto"/>
        <w:jc w:val="left"/>
        <w:rPr>
          <w:rFonts w:ascii="宋体" w:hAnsi="宋体" w:cs="宋体"/>
          <w:sz w:val="24"/>
        </w:rPr>
      </w:pPr>
      <w:r>
        <w:rPr>
          <w:rFonts w:hint="eastAsia" w:ascii="宋体" w:hAnsi="宋体" w:cs="宋体"/>
          <w:sz w:val="24"/>
        </w:rPr>
        <w:t>日期：   年     月     日</w:t>
      </w:r>
    </w:p>
    <w:p>
      <w:pPr>
        <w:pStyle w:val="9"/>
        <w:rPr>
          <w:lang w:val="fr-CH"/>
        </w:rPr>
      </w:pPr>
    </w:p>
    <w:p>
      <w:pPr>
        <w:tabs>
          <w:tab w:val="left" w:pos="640"/>
          <w:tab w:val="left" w:pos="1260"/>
          <w:tab w:val="left" w:pos="1418"/>
        </w:tabs>
        <w:spacing w:line="360" w:lineRule="auto"/>
        <w:rPr>
          <w:rFonts w:ascii="宋体" w:hAnsi="宋体" w:cs="宋体"/>
          <w:sz w:val="24"/>
          <w:lang w:val="fr-CH"/>
        </w:rPr>
      </w:pPr>
    </w:p>
    <w:p>
      <w:pPr>
        <w:widowControl/>
        <w:autoSpaceDE w:val="0"/>
        <w:autoSpaceDN w:val="0"/>
        <w:spacing w:line="360" w:lineRule="auto"/>
        <w:ind w:left="359" w:right="26" w:hanging="357"/>
        <w:jc w:val="center"/>
        <w:textAlignment w:val="bottom"/>
        <w:rPr>
          <w:rFonts w:ascii="宋体" w:hAnsi="宋体" w:cs="宋体"/>
          <w:sz w:val="24"/>
          <w:lang w:val="fr-CH"/>
        </w:rPr>
      </w:pPr>
      <w:r>
        <w:rPr>
          <w:rFonts w:hint="eastAsia" w:ascii="宋体" w:hAnsi="宋体" w:cs="宋体"/>
          <w:sz w:val="24"/>
          <w:lang w:val="fr-CH"/>
        </w:rPr>
        <w:br w:type="page"/>
      </w:r>
      <w:r>
        <w:rPr>
          <w:rFonts w:hint="eastAsia" w:ascii="宋体" w:hAnsi="宋体" w:cs="宋体"/>
          <w:b/>
          <w:bCs/>
          <w:sz w:val="24"/>
        </w:rPr>
        <w:t>9、</w:t>
      </w:r>
      <w:r>
        <w:rPr>
          <w:rFonts w:hint="eastAsia" w:ascii="宋体" w:hAnsi="宋体" w:cs="宋体"/>
          <w:b/>
          <w:bCs/>
          <w:sz w:val="24"/>
          <w:lang w:val="fr-CH"/>
        </w:rPr>
        <w:t>供应商简介；</w:t>
      </w:r>
    </w:p>
    <w:p>
      <w:pPr>
        <w:pStyle w:val="6"/>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6"/>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1"/>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noWrap w:val="0"/>
            <w:vAlign w:val="center"/>
          </w:tcPr>
          <w:p>
            <w:pPr>
              <w:jc w:val="center"/>
              <w:rPr>
                <w:rFonts w:hint="eastAsia" w:ascii="宋体" w:hAnsi="宋体" w:cs="宋体"/>
                <w:szCs w:val="21"/>
              </w:rPr>
            </w:pPr>
          </w:p>
        </w:tc>
        <w:tc>
          <w:tcPr>
            <w:tcW w:w="1991" w:type="dxa"/>
            <w:gridSpan w:val="2"/>
            <w:noWrap w:val="0"/>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noWrap w:val="0"/>
            <w:vAlign w:val="center"/>
          </w:tcPr>
          <w:p>
            <w:pPr>
              <w:jc w:val="center"/>
              <w:rPr>
                <w:rFonts w:hint="eastAsia" w:ascii="宋体" w:hAnsi="宋体" w:cs="宋体"/>
                <w:szCs w:val="21"/>
              </w:rPr>
            </w:pPr>
          </w:p>
        </w:tc>
        <w:tc>
          <w:tcPr>
            <w:tcW w:w="1991" w:type="dxa"/>
            <w:gridSpan w:val="2"/>
            <w:noWrap w:val="0"/>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noWrap w:val="0"/>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noWrap w:val="0"/>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noWrap w:val="0"/>
            <w:vAlign w:val="center"/>
          </w:tcPr>
          <w:p>
            <w:pPr>
              <w:jc w:val="center"/>
              <w:rPr>
                <w:rFonts w:hint="eastAsia" w:ascii="宋体" w:hAnsi="宋体" w:cs="宋体"/>
                <w:szCs w:val="21"/>
              </w:rPr>
            </w:pPr>
          </w:p>
        </w:tc>
        <w:tc>
          <w:tcPr>
            <w:tcW w:w="1991" w:type="dxa"/>
            <w:gridSpan w:val="2"/>
            <w:tcBorders>
              <w:top w:val="single" w:color="auto" w:sz="4" w:space="0"/>
            </w:tcBorders>
            <w:noWrap w:val="0"/>
            <w:vAlign w:val="center"/>
          </w:tcPr>
          <w:p>
            <w:pPr>
              <w:jc w:val="center"/>
              <w:rPr>
                <w:rFonts w:hint="eastAsia" w:ascii="宋体" w:hAnsi="宋体" w:cs="宋体"/>
                <w:szCs w:val="21"/>
              </w:rPr>
            </w:pPr>
          </w:p>
        </w:tc>
        <w:tc>
          <w:tcPr>
            <w:tcW w:w="1500" w:type="dxa"/>
            <w:tcBorders>
              <w:top w:val="single" w:color="auto" w:sz="4" w:space="0"/>
            </w:tcBorders>
            <w:noWrap w:val="0"/>
            <w:vAlign w:val="center"/>
          </w:tcPr>
          <w:p>
            <w:pPr>
              <w:jc w:val="center"/>
              <w:rPr>
                <w:rFonts w:hint="eastAsia" w:ascii="宋体" w:hAnsi="宋体" w:cs="宋体"/>
                <w:szCs w:val="21"/>
              </w:rPr>
            </w:pPr>
          </w:p>
        </w:tc>
        <w:tc>
          <w:tcPr>
            <w:tcW w:w="1485" w:type="dxa"/>
            <w:tcBorders>
              <w:top w:val="single" w:color="auto" w:sz="4" w:space="0"/>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noWrap w:val="0"/>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noWrap w:val="0"/>
            <w:vAlign w:val="center"/>
          </w:tcPr>
          <w:p>
            <w:pPr>
              <w:jc w:val="center"/>
              <w:rPr>
                <w:rFonts w:hint="eastAsia" w:ascii="宋体" w:hAnsi="宋体" w:cs="宋体"/>
                <w:szCs w:val="21"/>
              </w:rPr>
            </w:pPr>
          </w:p>
        </w:tc>
        <w:tc>
          <w:tcPr>
            <w:tcW w:w="1991" w:type="dxa"/>
            <w:gridSpan w:val="2"/>
            <w:noWrap w:val="0"/>
            <w:vAlign w:val="center"/>
          </w:tcPr>
          <w:p>
            <w:pPr>
              <w:jc w:val="center"/>
              <w:rPr>
                <w:rFonts w:hint="eastAsia" w:ascii="宋体" w:hAnsi="宋体" w:cs="宋体"/>
                <w:szCs w:val="21"/>
              </w:rPr>
            </w:pPr>
          </w:p>
        </w:tc>
        <w:tc>
          <w:tcPr>
            <w:tcW w:w="1500" w:type="dxa"/>
            <w:noWrap w:val="0"/>
            <w:vAlign w:val="center"/>
          </w:tcPr>
          <w:p>
            <w:pPr>
              <w:jc w:val="center"/>
              <w:rPr>
                <w:rFonts w:hint="eastAsia" w:ascii="宋体" w:hAnsi="宋体" w:cs="宋体"/>
                <w:szCs w:val="21"/>
              </w:rPr>
            </w:pPr>
          </w:p>
        </w:tc>
        <w:tc>
          <w:tcPr>
            <w:tcW w:w="14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noWrap w:val="0"/>
            <w:vAlign w:val="center"/>
          </w:tcPr>
          <w:p>
            <w:pPr>
              <w:pStyle w:val="6"/>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noWrap w:val="0"/>
            <w:vAlign w:val="center"/>
          </w:tcPr>
          <w:p>
            <w:pPr>
              <w:jc w:val="center"/>
              <w:rPr>
                <w:rFonts w:hint="eastAsia" w:ascii="宋体" w:hAnsi="宋体" w:cs="宋体"/>
                <w:szCs w:val="21"/>
              </w:rPr>
            </w:pPr>
          </w:p>
        </w:tc>
        <w:tc>
          <w:tcPr>
            <w:tcW w:w="1991" w:type="dxa"/>
            <w:gridSpan w:val="2"/>
            <w:noWrap w:val="0"/>
            <w:vAlign w:val="center"/>
          </w:tcPr>
          <w:p>
            <w:pPr>
              <w:jc w:val="center"/>
              <w:rPr>
                <w:rFonts w:hint="eastAsia" w:ascii="宋体" w:hAnsi="宋体" w:cs="宋体"/>
                <w:szCs w:val="21"/>
              </w:rPr>
            </w:pPr>
          </w:p>
        </w:tc>
        <w:tc>
          <w:tcPr>
            <w:tcW w:w="1500" w:type="dxa"/>
            <w:noWrap w:val="0"/>
            <w:vAlign w:val="center"/>
          </w:tcPr>
          <w:p>
            <w:pPr>
              <w:jc w:val="center"/>
              <w:rPr>
                <w:rFonts w:hint="eastAsia" w:ascii="宋体" w:hAnsi="宋体" w:cs="宋体"/>
                <w:szCs w:val="21"/>
              </w:rPr>
            </w:pPr>
          </w:p>
        </w:tc>
        <w:tc>
          <w:tcPr>
            <w:tcW w:w="1485"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ascii="宋体" w:hAnsi="宋体"/>
          <w:b/>
          <w:bCs/>
          <w:szCs w:val="21"/>
        </w:rPr>
      </w:pPr>
      <w:r>
        <w:rPr>
          <w:rFonts w:hint="eastAsia" w:ascii="宋体" w:hAnsi="宋体"/>
          <w:b/>
          <w:bCs/>
          <w:szCs w:val="21"/>
        </w:rPr>
        <w:t>注：</w:t>
      </w:r>
    </w:p>
    <w:p>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ascii="宋体" w:hAnsi="宋体"/>
        </w:rPr>
      </w:pPr>
    </w:p>
    <w:p>
      <w:pPr>
        <w:tabs>
          <w:tab w:val="left" w:pos="3780"/>
        </w:tabs>
        <w:spacing w:line="360" w:lineRule="auto"/>
        <w:jc w:val="left"/>
        <w:rPr>
          <w:rFonts w:ascii="宋体" w:hAnsi="宋体" w:cs="宋体"/>
          <w:sz w:val="24"/>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pStyle w:val="9"/>
        <w:rPr>
          <w:lang w:val="fr-CH"/>
        </w:rPr>
      </w:pPr>
    </w:p>
    <w:p>
      <w:pPr>
        <w:tabs>
          <w:tab w:val="left" w:pos="640"/>
        </w:tabs>
        <w:spacing w:line="360" w:lineRule="auto"/>
        <w:rPr>
          <w:rFonts w:ascii="宋体" w:hAnsi="宋体" w:cs="宋体"/>
          <w:sz w:val="24"/>
          <w:lang w:val="fr-CH"/>
        </w:rPr>
      </w:pPr>
      <w:r>
        <w:rPr>
          <w:rFonts w:hint="eastAsia" w:ascii="宋体" w:hAnsi="宋体" w:cs="宋体"/>
          <w:sz w:val="24"/>
          <w:lang w:val="fr-CH"/>
        </w:rPr>
        <w:br w:type="page"/>
      </w:r>
    </w:p>
    <w:p>
      <w:pPr>
        <w:tabs>
          <w:tab w:val="left" w:pos="640"/>
        </w:tabs>
        <w:spacing w:line="360" w:lineRule="auto"/>
        <w:rPr>
          <w:rFonts w:hint="eastAsia" w:ascii="宋体" w:hAnsi="宋体" w:cs="宋体"/>
          <w:sz w:val="24"/>
        </w:rPr>
      </w:pPr>
      <w:r>
        <w:rPr>
          <w:rFonts w:hint="eastAsia" w:ascii="宋体" w:hAnsi="宋体" w:cs="宋体"/>
          <w:sz w:val="24"/>
        </w:rPr>
        <w:t>10、</w:t>
      </w:r>
      <w:r>
        <w:rPr>
          <w:rFonts w:hint="eastAsia" w:ascii="宋体" w:hAnsi="宋体" w:cs="宋体"/>
          <w:sz w:val="24"/>
          <w:lang w:val="zh-CN"/>
        </w:rPr>
        <w:t>同类项目业绩</w:t>
      </w:r>
      <w:r>
        <w:rPr>
          <w:rFonts w:hint="eastAsia" w:ascii="宋体" w:hAnsi="宋体" w:cs="宋体"/>
          <w:sz w:val="24"/>
        </w:rPr>
        <w:t>；</w:t>
      </w:r>
    </w:p>
    <w:p>
      <w:pPr>
        <w:tabs>
          <w:tab w:val="left" w:pos="640"/>
        </w:tabs>
        <w:spacing w:line="360" w:lineRule="auto"/>
        <w:rPr>
          <w:rFonts w:hint="eastAsia" w:ascii="宋体" w:hAnsi="宋体" w:cs="宋体"/>
          <w:sz w:val="24"/>
        </w:rPr>
      </w:pPr>
      <w:r>
        <w:rPr>
          <w:rFonts w:hint="eastAsia" w:ascii="宋体" w:hAnsi="宋体" w:cs="宋体"/>
          <w:sz w:val="24"/>
        </w:rPr>
        <w:t>11、项目负责人（仅限1人）；</w:t>
      </w:r>
    </w:p>
    <w:p>
      <w:pPr>
        <w:tabs>
          <w:tab w:val="left" w:pos="640"/>
        </w:tabs>
        <w:spacing w:line="360" w:lineRule="auto"/>
        <w:rPr>
          <w:rFonts w:hint="eastAsia" w:ascii="宋体" w:hAnsi="宋体" w:cs="宋体"/>
          <w:sz w:val="24"/>
        </w:rPr>
      </w:pPr>
      <w:r>
        <w:rPr>
          <w:rFonts w:hint="eastAsia" w:ascii="宋体" w:hAnsi="宋体" w:cs="宋体"/>
          <w:sz w:val="24"/>
        </w:rPr>
        <w:t>12、团队成员（项目负责人除外）；</w:t>
      </w:r>
    </w:p>
    <w:p>
      <w:pPr>
        <w:tabs>
          <w:tab w:val="left" w:pos="640"/>
        </w:tabs>
        <w:spacing w:line="360" w:lineRule="auto"/>
        <w:rPr>
          <w:rFonts w:hint="eastAsia" w:ascii="宋体" w:hAnsi="宋体" w:cs="宋体"/>
          <w:sz w:val="24"/>
        </w:rPr>
      </w:pPr>
      <w:r>
        <w:rPr>
          <w:rFonts w:hint="eastAsia" w:ascii="宋体" w:hAnsi="宋体" w:cs="宋体"/>
          <w:sz w:val="24"/>
        </w:rPr>
        <w:t>13、投标单位认为有必要提供的其他材料（格式自拟）</w:t>
      </w:r>
    </w:p>
    <w:p>
      <w:pPr>
        <w:tabs>
          <w:tab w:val="left" w:pos="640"/>
          <w:tab w:val="left" w:pos="1260"/>
          <w:tab w:val="left" w:pos="1418"/>
        </w:tabs>
        <w:jc w:val="center"/>
        <w:rPr>
          <w:rFonts w:ascii="宋体" w:hAnsi="宋体" w:cs="宋体"/>
          <w:b/>
          <w:bCs/>
          <w:szCs w:val="21"/>
        </w:rPr>
      </w:pPr>
    </w:p>
    <w:p>
      <w:pPr>
        <w:tabs>
          <w:tab w:val="left" w:pos="640"/>
          <w:tab w:val="left" w:pos="1260"/>
          <w:tab w:val="left" w:pos="1418"/>
        </w:tabs>
        <w:jc w:val="center"/>
        <w:rPr>
          <w:rFonts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640"/>
          <w:tab w:val="left" w:pos="840"/>
          <w:tab w:val="left" w:pos="1260"/>
          <w:tab w:val="left" w:pos="1418"/>
        </w:tabs>
        <w:spacing w:line="360" w:lineRule="auto"/>
        <w:rPr>
          <w:rFonts w:ascii="宋体" w:hAnsi="宋体" w:cs="宋体"/>
          <w:sz w:val="24"/>
        </w:rPr>
      </w:pPr>
    </w:p>
    <w:p>
      <w:pPr>
        <w:spacing w:line="360" w:lineRule="auto"/>
        <w:rPr>
          <w:rFonts w:ascii="宋体" w:hAnsi="宋体" w:cs="宋体"/>
          <w:sz w:val="24"/>
        </w:rPr>
      </w:pPr>
    </w:p>
    <w:p>
      <w:pPr>
        <w:spacing w:line="360" w:lineRule="auto"/>
        <w:outlineLvl w:val="2"/>
        <w:rPr>
          <w:rFonts w:ascii="宋体" w:hAnsi="宋体" w:cs="宋体"/>
          <w:sz w:val="24"/>
          <w:lang w:val="fr-CH"/>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rPr>
          <w:rFonts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p>
      <w:pPr>
        <w:spacing w:after="78" w:line="360" w:lineRule="auto"/>
        <w:rPr>
          <w:rFonts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ascii="宋体" w:hAnsi="宋体" w:cs="宋体"/>
                <w:bCs/>
                <w:sz w:val="24"/>
              </w:rPr>
            </w:pPr>
            <w:r>
              <w:rPr>
                <w:rFonts w:hint="eastAsia" w:ascii="宋体" w:hAnsi="宋体" w:cs="宋体"/>
                <w:bCs/>
                <w:sz w:val="24"/>
              </w:rPr>
              <w:t>序号</w:t>
            </w:r>
          </w:p>
        </w:tc>
        <w:tc>
          <w:tcPr>
            <w:tcW w:w="3507" w:type="dxa"/>
            <w:noWrap w:val="0"/>
            <w:vAlign w:val="center"/>
          </w:tcPr>
          <w:p>
            <w:pPr>
              <w:spacing w:line="360" w:lineRule="auto"/>
              <w:jc w:val="center"/>
              <w:rPr>
                <w:rFonts w:ascii="宋体" w:hAnsi="宋体" w:cs="宋体"/>
                <w:bCs/>
                <w:sz w:val="24"/>
              </w:rPr>
            </w:pPr>
            <w:r>
              <w:rPr>
                <w:rFonts w:hint="eastAsia" w:ascii="宋体" w:hAnsi="宋体" w:cs="宋体"/>
                <w:bCs/>
                <w:sz w:val="24"/>
              </w:rPr>
              <w:t>招标文件要求</w:t>
            </w:r>
          </w:p>
        </w:tc>
        <w:tc>
          <w:tcPr>
            <w:tcW w:w="3052" w:type="dxa"/>
            <w:noWrap w:val="0"/>
            <w:vAlign w:val="center"/>
          </w:tcPr>
          <w:p>
            <w:pPr>
              <w:spacing w:line="360" w:lineRule="auto"/>
              <w:jc w:val="center"/>
              <w:rPr>
                <w:rFonts w:ascii="宋体" w:hAnsi="宋体" w:cs="宋体"/>
                <w:bCs/>
                <w:sz w:val="24"/>
              </w:rPr>
            </w:pPr>
            <w:r>
              <w:rPr>
                <w:rFonts w:hint="eastAsia" w:ascii="宋体" w:hAnsi="宋体" w:cs="宋体"/>
                <w:bCs/>
                <w:sz w:val="24"/>
              </w:rPr>
              <w:t>投标文件响应</w:t>
            </w:r>
          </w:p>
        </w:tc>
        <w:tc>
          <w:tcPr>
            <w:tcW w:w="2106" w:type="dxa"/>
            <w:noWrap w:val="0"/>
            <w:vAlign w:val="center"/>
          </w:tcPr>
          <w:p>
            <w:pPr>
              <w:spacing w:line="360" w:lineRule="auto"/>
              <w:jc w:val="center"/>
              <w:rPr>
                <w:rFonts w:ascii="宋体" w:hAnsi="宋体" w:cs="宋体"/>
                <w:bCs/>
                <w:sz w:val="24"/>
              </w:rPr>
            </w:pPr>
            <w:r>
              <w:rPr>
                <w:rFonts w:hint="eastAsia" w:ascii="宋体" w:hAnsi="宋体" w:cs="宋体"/>
                <w:bCs/>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ascii="宋体" w:hAnsi="宋体" w:cs="宋体"/>
                <w:bCs/>
                <w:sz w:val="24"/>
              </w:rPr>
            </w:pPr>
            <w:r>
              <w:rPr>
                <w:rFonts w:hint="eastAsia" w:ascii="宋体" w:hAnsi="宋体" w:cs="宋体"/>
                <w:bCs/>
                <w:sz w:val="24"/>
              </w:rPr>
              <w:t>1</w:t>
            </w:r>
          </w:p>
        </w:tc>
        <w:tc>
          <w:tcPr>
            <w:tcW w:w="3507" w:type="dxa"/>
            <w:noWrap w:val="0"/>
            <w:vAlign w:val="center"/>
          </w:tcPr>
          <w:p>
            <w:pPr>
              <w:spacing w:after="78" w:line="360" w:lineRule="auto"/>
              <w:rPr>
                <w:rFonts w:ascii="宋体" w:hAnsi="宋体" w:cs="宋体"/>
                <w:bCs/>
                <w:sz w:val="24"/>
              </w:rPr>
            </w:pPr>
            <w:r>
              <w:rPr>
                <w:rFonts w:hint="eastAsia" w:ascii="宋体" w:hAnsi="宋体" w:cs="宋体"/>
                <w:b/>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sz w:val="24"/>
              </w:rPr>
              <w:t>。如投标人中标后被发现不能满足招标文件“第五章 用户需求书”的，采购单位有权拒绝签订合同，一切后果由投标人承担。</w:t>
            </w:r>
          </w:p>
        </w:tc>
        <w:tc>
          <w:tcPr>
            <w:tcW w:w="3052" w:type="dxa"/>
            <w:noWrap w:val="0"/>
            <w:vAlign w:val="center"/>
          </w:tcPr>
          <w:p>
            <w:pPr>
              <w:spacing w:line="360" w:lineRule="auto"/>
              <w:jc w:val="left"/>
              <w:rPr>
                <w:rFonts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sz w:val="24"/>
              </w:rPr>
            </w:pPr>
            <w:r>
              <w:rPr>
                <w:rFonts w:hint="eastAsia" w:ascii="宋体" w:hAnsi="宋体" w:cs="宋体"/>
                <w:bCs/>
                <w:sz w:val="24"/>
              </w:rPr>
              <w:t>无需另行编制填写内容。</w:t>
            </w:r>
          </w:p>
        </w:tc>
        <w:tc>
          <w:tcPr>
            <w:tcW w:w="2106" w:type="dxa"/>
            <w:noWrap w:val="0"/>
            <w:vAlign w:val="center"/>
          </w:tcPr>
          <w:p>
            <w:pPr>
              <w:spacing w:line="360" w:lineRule="auto"/>
              <w:jc w:val="center"/>
              <w:rPr>
                <w:rFonts w:ascii="宋体" w:hAnsi="宋体" w:cs="宋体"/>
                <w:bCs/>
                <w:sz w:val="24"/>
              </w:rPr>
            </w:pPr>
          </w:p>
        </w:tc>
      </w:tr>
    </w:tbl>
    <w:p>
      <w:pPr>
        <w:spacing w:after="78" w:line="360" w:lineRule="auto"/>
        <w:rPr>
          <w:rFonts w:ascii="宋体" w:hAnsi="宋体" w:cs="宋体"/>
          <w:bCs/>
          <w:sz w:val="24"/>
        </w:rPr>
      </w:pPr>
    </w:p>
    <w:p>
      <w:pPr>
        <w:spacing w:after="78" w:line="360" w:lineRule="auto"/>
        <w:rPr>
          <w:rFonts w:ascii="宋体" w:hAnsi="宋体" w:cs="宋体"/>
          <w:sz w:val="24"/>
        </w:rPr>
      </w:pPr>
      <w:r>
        <w:rPr>
          <w:rFonts w:hint="eastAsia" w:ascii="宋体" w:hAnsi="宋体" w:cs="宋体"/>
          <w:bCs/>
          <w:sz w:val="24"/>
        </w:rPr>
        <w:t>若响应情况优于招标要求，应作详细说明；“偏离情况”栏中根据响应情况填写，没有达到要求的填“负偏离”，达到要求的填“无偏离”，优于要求的填“正偏离”。</w:t>
      </w: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9"/>
        <w:spacing w:line="360" w:lineRule="auto"/>
        <w:rPr>
          <w:lang w:val="fr-CH"/>
        </w:rPr>
      </w:pPr>
    </w:p>
    <w:p>
      <w:pPr>
        <w:tabs>
          <w:tab w:val="left" w:pos="640"/>
          <w:tab w:val="left" w:pos="1260"/>
          <w:tab w:val="left" w:pos="1418"/>
        </w:tabs>
        <w:spacing w:line="360" w:lineRule="auto"/>
        <w:ind w:right="-420" w:rightChars="-200"/>
        <w:rPr>
          <w:rFonts w:hint="eastAsia" w:ascii="宋体" w:hAnsi="宋体" w:cs="宋体"/>
          <w:sz w:val="24"/>
        </w:rPr>
      </w:pPr>
    </w:p>
    <w:p>
      <w:pPr>
        <w:tabs>
          <w:tab w:val="left" w:pos="640"/>
          <w:tab w:val="left" w:pos="1260"/>
          <w:tab w:val="left" w:pos="1418"/>
        </w:tabs>
        <w:spacing w:line="360" w:lineRule="auto"/>
        <w:ind w:right="-420" w:rightChars="-200"/>
        <w:rPr>
          <w:rFonts w:hint="eastAsia" w:ascii="宋体" w:hAnsi="宋体" w:cs="宋体"/>
          <w:sz w:val="24"/>
        </w:rPr>
      </w:pPr>
    </w:p>
    <w:p>
      <w:pPr>
        <w:tabs>
          <w:tab w:val="left" w:pos="640"/>
          <w:tab w:val="left" w:pos="1260"/>
          <w:tab w:val="left" w:pos="1418"/>
        </w:tabs>
        <w:spacing w:line="360" w:lineRule="auto"/>
        <w:ind w:right="-420" w:rightChars="-200"/>
        <w:rPr>
          <w:rFonts w:hint="eastAsia" w:ascii="宋体" w:hAnsi="宋体" w:cs="宋体"/>
          <w:sz w:val="24"/>
        </w:rPr>
      </w:pPr>
    </w:p>
    <w:p>
      <w:pPr>
        <w:tabs>
          <w:tab w:val="left" w:pos="640"/>
          <w:tab w:val="left" w:pos="1260"/>
          <w:tab w:val="left" w:pos="1418"/>
        </w:tabs>
        <w:spacing w:line="360" w:lineRule="auto"/>
        <w:ind w:right="-420" w:rightChars="-200"/>
        <w:rPr>
          <w:rFonts w:hint="eastAsia" w:ascii="宋体" w:hAnsi="宋体" w:cs="宋体"/>
          <w:sz w:val="24"/>
        </w:rPr>
      </w:pPr>
      <w:r>
        <w:rPr>
          <w:rFonts w:hint="eastAsia" w:ascii="宋体" w:hAnsi="宋体" w:cs="宋体"/>
          <w:sz w:val="24"/>
        </w:rPr>
        <w:t>2、</w:t>
      </w:r>
      <w:r>
        <w:rPr>
          <w:rFonts w:hint="eastAsia" w:ascii="宋体" w:hAnsi="宋体" w:cs="宋体"/>
          <w:sz w:val="24"/>
          <w:lang w:val="zh-CN"/>
        </w:rPr>
        <w:t>对项目的整体理解</w:t>
      </w:r>
      <w:r>
        <w:rPr>
          <w:rFonts w:hint="eastAsia" w:ascii="宋体" w:hAnsi="宋体" w:cs="宋体"/>
          <w:sz w:val="24"/>
        </w:rPr>
        <w:t>；</w:t>
      </w:r>
    </w:p>
    <w:p>
      <w:pPr>
        <w:tabs>
          <w:tab w:val="left" w:pos="640"/>
          <w:tab w:val="left" w:pos="1260"/>
          <w:tab w:val="left" w:pos="1418"/>
        </w:tabs>
        <w:spacing w:line="360" w:lineRule="auto"/>
        <w:ind w:right="-420" w:rightChars="-200"/>
        <w:rPr>
          <w:rFonts w:hint="eastAsia" w:ascii="宋体" w:hAnsi="宋体" w:cs="宋体"/>
          <w:sz w:val="24"/>
        </w:rPr>
      </w:pPr>
      <w:r>
        <w:rPr>
          <w:rFonts w:hint="eastAsia" w:ascii="宋体" w:hAnsi="宋体" w:cs="宋体"/>
          <w:sz w:val="24"/>
        </w:rPr>
        <w:t>3、</w:t>
      </w:r>
      <w:r>
        <w:rPr>
          <w:rFonts w:hint="eastAsia" w:ascii="宋体" w:hAnsi="宋体" w:cs="宋体"/>
          <w:sz w:val="24"/>
          <w:lang w:val="sq-AL"/>
        </w:rPr>
        <w:t>项目重点难点分析、应对措施及相关的合理化建议</w:t>
      </w:r>
      <w:r>
        <w:rPr>
          <w:rFonts w:hint="eastAsia" w:ascii="宋体" w:hAnsi="宋体" w:cs="宋体"/>
          <w:sz w:val="24"/>
          <w:lang w:val="fr-CH"/>
        </w:rPr>
        <w:t>；</w:t>
      </w:r>
    </w:p>
    <w:p>
      <w:pPr>
        <w:tabs>
          <w:tab w:val="left" w:pos="640"/>
          <w:tab w:val="left" w:pos="1260"/>
          <w:tab w:val="left" w:pos="1418"/>
        </w:tabs>
        <w:spacing w:line="360" w:lineRule="auto"/>
        <w:ind w:right="-420" w:rightChars="-200"/>
        <w:rPr>
          <w:rFonts w:hint="eastAsia" w:ascii="宋体" w:hAnsi="宋体" w:cs="宋体"/>
          <w:sz w:val="24"/>
        </w:rPr>
      </w:pPr>
      <w:r>
        <w:rPr>
          <w:rFonts w:hint="eastAsia" w:ascii="宋体" w:hAnsi="宋体" w:cs="宋体"/>
          <w:sz w:val="24"/>
        </w:rPr>
        <w:t>4、</w:t>
      </w:r>
      <w:r>
        <w:rPr>
          <w:rFonts w:hint="eastAsia" w:ascii="宋体" w:hAnsi="宋体" w:cs="宋体"/>
          <w:sz w:val="24"/>
          <w:lang w:val="sq-AL"/>
        </w:rPr>
        <w:t>编制研究方法及思路</w:t>
      </w:r>
      <w:r>
        <w:rPr>
          <w:rFonts w:hint="eastAsia" w:ascii="宋体" w:hAnsi="宋体" w:cs="宋体"/>
          <w:sz w:val="24"/>
          <w:lang w:val="fr-CH"/>
        </w:rPr>
        <w:t>；</w:t>
      </w:r>
    </w:p>
    <w:p>
      <w:pPr>
        <w:tabs>
          <w:tab w:val="left" w:pos="640"/>
          <w:tab w:val="left" w:pos="1260"/>
          <w:tab w:val="left" w:pos="1418"/>
        </w:tabs>
        <w:spacing w:line="360" w:lineRule="auto"/>
        <w:ind w:right="-420" w:rightChars="-200"/>
        <w:rPr>
          <w:rFonts w:ascii="宋体" w:hAnsi="宋体" w:cs="宋体"/>
          <w:sz w:val="24"/>
        </w:rPr>
      </w:pPr>
      <w:r>
        <w:rPr>
          <w:rFonts w:hint="eastAsia" w:ascii="宋体" w:hAnsi="宋体" w:cs="宋体"/>
          <w:sz w:val="24"/>
        </w:rPr>
        <w:t>5、</w:t>
      </w:r>
      <w:r>
        <w:rPr>
          <w:rFonts w:hint="eastAsia" w:ascii="宋体" w:hAnsi="宋体" w:cs="宋体"/>
          <w:color w:val="000000"/>
          <w:kern w:val="0"/>
          <w:sz w:val="24"/>
          <w:lang w:eastAsia="zh-Hans"/>
        </w:rPr>
        <w:t>成果预设</w:t>
      </w:r>
      <w:r>
        <w:rPr>
          <w:rFonts w:hint="eastAsia" w:ascii="宋体" w:hAnsi="宋体" w:cs="宋体"/>
          <w:sz w:val="24"/>
        </w:rPr>
        <w:t>；</w:t>
      </w:r>
    </w:p>
    <w:p>
      <w:pPr>
        <w:tabs>
          <w:tab w:val="left" w:pos="640"/>
          <w:tab w:val="left" w:pos="1260"/>
          <w:tab w:val="left" w:pos="1418"/>
        </w:tabs>
        <w:spacing w:line="360" w:lineRule="auto"/>
        <w:ind w:right="-420" w:rightChars="-200"/>
        <w:rPr>
          <w:rFonts w:hint="eastAsia" w:ascii="宋体" w:hAnsi="宋体" w:cs="宋体"/>
          <w:sz w:val="24"/>
        </w:rPr>
      </w:pPr>
      <w:r>
        <w:rPr>
          <w:rFonts w:hint="eastAsia" w:ascii="宋体" w:hAnsi="宋体" w:cs="宋体"/>
          <w:sz w:val="24"/>
        </w:rPr>
        <w:t>6、</w:t>
      </w:r>
      <w:r>
        <w:rPr>
          <w:rFonts w:hint="eastAsia" w:ascii="宋体" w:hAnsi="宋体" w:cs="宋体"/>
          <w:color w:val="000000"/>
          <w:kern w:val="0"/>
          <w:sz w:val="24"/>
        </w:rPr>
        <w:t>项目进度计划</w:t>
      </w:r>
      <w:r>
        <w:rPr>
          <w:rFonts w:hint="eastAsia" w:ascii="宋体" w:hAnsi="宋体" w:cs="宋体"/>
          <w:sz w:val="24"/>
          <w:lang w:val="fr-CH"/>
        </w:rPr>
        <w:t>；</w:t>
      </w:r>
    </w:p>
    <w:p>
      <w:pPr>
        <w:pStyle w:val="19"/>
        <w:rPr>
          <w:rFonts w:hint="eastAsia"/>
        </w:rPr>
      </w:pPr>
    </w:p>
    <w:p>
      <w:pPr>
        <w:tabs>
          <w:tab w:val="left" w:pos="640"/>
          <w:tab w:val="left" w:pos="1260"/>
          <w:tab w:val="left" w:pos="1418"/>
        </w:tabs>
        <w:spacing w:line="360" w:lineRule="auto"/>
        <w:ind w:right="-420" w:rightChars="-200"/>
        <w:rPr>
          <w:rFonts w:hint="eastAsia" w:ascii="宋体" w:hAnsi="宋体" w:cs="宋体"/>
          <w:sz w:val="24"/>
          <w:lang w:val="fr-CH"/>
        </w:rPr>
      </w:pPr>
      <w:r>
        <w:rPr>
          <w:rFonts w:hint="eastAsia" w:ascii="宋体" w:hAnsi="宋体" w:cs="宋体"/>
          <w:sz w:val="24"/>
        </w:rPr>
        <w:br w:type="page"/>
      </w:r>
      <w:r>
        <w:rPr>
          <w:rFonts w:hint="eastAsia" w:ascii="宋体" w:hAnsi="宋体" w:cs="宋体"/>
          <w:sz w:val="24"/>
        </w:rPr>
        <w:t>7、</w:t>
      </w:r>
      <w:r>
        <w:rPr>
          <w:rFonts w:hint="eastAsia" w:ascii="宋体" w:hAnsi="宋体" w:cs="宋体"/>
          <w:sz w:val="24"/>
          <w:lang w:val="fr-CH"/>
        </w:rPr>
        <w:t>投标单位认为有必要提供的其他材料（包括但不限于以下内容）</w:t>
      </w:r>
    </w:p>
    <w:p>
      <w:pPr>
        <w:spacing w:line="440" w:lineRule="exact"/>
        <w:jc w:val="left"/>
        <w:rPr>
          <w:rFonts w:hint="eastAsia" w:ascii="宋体" w:hAnsi="宋体"/>
          <w:szCs w:val="21"/>
        </w:rPr>
      </w:pPr>
    </w:p>
    <w:p>
      <w:pPr>
        <w:spacing w:line="440" w:lineRule="exact"/>
        <w:jc w:val="left"/>
        <w:rPr>
          <w:rFonts w:hint="eastAsia" w:ascii="宋体" w:hAnsi="宋体"/>
          <w:szCs w:val="21"/>
        </w:rPr>
      </w:pPr>
    </w:p>
    <w:p>
      <w:pPr>
        <w:spacing w:line="440" w:lineRule="exact"/>
        <w:jc w:val="left"/>
        <w:rPr>
          <w:rFonts w:hint="eastAsia" w:ascii="宋体" w:hAnsi="宋体"/>
          <w:sz w:val="24"/>
        </w:rPr>
      </w:pPr>
      <w:r>
        <w:rPr>
          <w:rFonts w:hint="eastAsia" w:ascii="宋体" w:hAnsi="宋体"/>
          <w:sz w:val="24"/>
        </w:rPr>
        <w:t>（1）最近三年本公司牵涉的主要诉讼案件</w:t>
      </w:r>
    </w:p>
    <w:p>
      <w:pPr>
        <w:spacing w:line="440" w:lineRule="exact"/>
        <w:jc w:val="left"/>
        <w:rPr>
          <w:rFonts w:hint="eastAsia" w:ascii="宋体" w:hAnsi="宋体"/>
          <w:sz w:val="24"/>
        </w:rPr>
      </w:pPr>
    </w:p>
    <w:p>
      <w:pPr>
        <w:spacing w:line="440" w:lineRule="exact"/>
        <w:jc w:val="left"/>
        <w:rPr>
          <w:rFonts w:hint="eastAsia" w:ascii="宋体" w:hAnsi="宋体"/>
          <w:sz w:val="24"/>
        </w:rPr>
      </w:pPr>
      <w:r>
        <w:rPr>
          <w:rFonts w:hint="eastAsia" w:ascii="宋体" w:hAnsi="宋体"/>
          <w:sz w:val="24"/>
        </w:rPr>
        <w:t>（2）</w:t>
      </w:r>
      <w:r>
        <w:rPr>
          <w:rFonts w:hint="eastAsia" w:ascii="宋体" w:hAnsi="宋体"/>
          <w:b/>
          <w:bCs/>
          <w:sz w:val="24"/>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sz w:val="24"/>
        </w:rPr>
      </w:pPr>
    </w:p>
    <w:p>
      <w:pPr>
        <w:spacing w:line="440" w:lineRule="exact"/>
        <w:jc w:val="left"/>
        <w:rPr>
          <w:rFonts w:hint="eastAsia" w:ascii="宋体" w:hAnsi="宋体"/>
          <w:sz w:val="24"/>
        </w:rPr>
      </w:pPr>
      <w:r>
        <w:rPr>
          <w:rFonts w:hint="eastAsia" w:ascii="宋体" w:hAnsi="宋体"/>
          <w:sz w:val="24"/>
        </w:rPr>
        <w:t>注：</w:t>
      </w:r>
    </w:p>
    <w:p>
      <w:pPr>
        <w:spacing w:line="440" w:lineRule="exact"/>
        <w:jc w:val="left"/>
        <w:rPr>
          <w:rFonts w:hint="eastAsia" w:ascii="宋体" w:hAnsi="宋体"/>
          <w:sz w:val="24"/>
        </w:rPr>
      </w:pPr>
      <w:r>
        <w:rPr>
          <w:rFonts w:hint="eastAsia" w:ascii="宋体" w:hAnsi="宋体"/>
          <w:sz w:val="24"/>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sz w:val="24"/>
        </w:rPr>
      </w:pPr>
      <w:r>
        <w:rPr>
          <w:rFonts w:hint="eastAsia" w:ascii="宋体" w:hAnsi="宋体"/>
          <w:sz w:val="24"/>
        </w:rPr>
        <w:t>2.投标人为新成立企业且成立时间不足一个月可提供加盖投标人公章的情况说明或者证明材料亦视为符合。</w:t>
      </w:r>
    </w:p>
    <w:p>
      <w:pPr>
        <w:spacing w:line="440" w:lineRule="exact"/>
        <w:jc w:val="left"/>
        <w:rPr>
          <w:rFonts w:hint="eastAsia" w:ascii="宋体" w:hAnsi="宋体"/>
          <w:sz w:val="24"/>
        </w:rPr>
      </w:pPr>
      <w:r>
        <w:rPr>
          <w:rFonts w:hint="eastAsia" w:ascii="宋体" w:hAnsi="宋体"/>
          <w:sz w:val="24"/>
        </w:rPr>
        <w:t>3.若为退休人员，提供退休证明。</w:t>
      </w:r>
    </w:p>
    <w:p>
      <w:pPr>
        <w:spacing w:line="440" w:lineRule="exact"/>
        <w:jc w:val="left"/>
        <w:rPr>
          <w:rFonts w:hint="eastAsia" w:ascii="宋体" w:hAnsi="宋体"/>
          <w:sz w:val="24"/>
        </w:rPr>
      </w:pPr>
      <w:r>
        <w:rPr>
          <w:rFonts w:hint="eastAsia" w:ascii="宋体" w:hAnsi="宋体"/>
          <w:sz w:val="24"/>
        </w:rPr>
        <w:t>4.如依法不需要缴纳社会保险的，应提供相应文件证明。</w:t>
      </w:r>
    </w:p>
    <w:p>
      <w:pPr>
        <w:spacing w:line="440" w:lineRule="exact"/>
        <w:jc w:val="left"/>
        <w:rPr>
          <w:rFonts w:hint="eastAsia" w:ascii="宋体" w:hAnsi="宋体"/>
          <w:sz w:val="24"/>
        </w:rPr>
      </w:pPr>
      <w:r>
        <w:rPr>
          <w:rFonts w:hint="eastAsia" w:ascii="宋体" w:hAnsi="宋体"/>
          <w:sz w:val="24"/>
        </w:rPr>
        <w:t>5.若因为社保部门或税务部门原因无法提供的，需提供劳动合同及社保部门或税务部门官方通知证明（或官网公告截图）。</w:t>
      </w:r>
    </w:p>
    <w:p>
      <w:pPr>
        <w:spacing w:line="440" w:lineRule="exact"/>
        <w:jc w:val="left"/>
        <w:rPr>
          <w:rFonts w:hint="eastAsia" w:ascii="宋体" w:hAnsi="宋体"/>
          <w:sz w:val="24"/>
        </w:rPr>
      </w:pPr>
      <w:r>
        <w:rPr>
          <w:rFonts w:hint="eastAsia" w:ascii="宋体" w:hAnsi="宋体"/>
          <w:sz w:val="24"/>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sz w:val="24"/>
        </w:rPr>
      </w:pPr>
      <w:r>
        <w:rPr>
          <w:rFonts w:hint="eastAsia" w:ascii="宋体" w:hAnsi="宋体"/>
          <w:sz w:val="24"/>
        </w:rPr>
        <w:t>7.如是联合体投标的，需提供各方的。</w:t>
      </w:r>
    </w:p>
    <w:p>
      <w:pPr>
        <w:spacing w:line="440" w:lineRule="exact"/>
        <w:jc w:val="left"/>
        <w:rPr>
          <w:rFonts w:hint="eastAsia" w:ascii="宋体" w:hAnsi="宋体"/>
          <w:sz w:val="24"/>
        </w:rPr>
      </w:pPr>
    </w:p>
    <w:p>
      <w:pPr>
        <w:tabs>
          <w:tab w:val="left" w:pos="640"/>
          <w:tab w:val="left" w:pos="1260"/>
          <w:tab w:val="left" w:pos="1418"/>
        </w:tabs>
        <w:spacing w:line="360" w:lineRule="auto"/>
        <w:rPr>
          <w:rFonts w:hint="eastAsia" w:ascii="宋体" w:hAnsi="宋体"/>
          <w:szCs w:val="21"/>
        </w:rPr>
      </w:pPr>
      <w:r>
        <w:rPr>
          <w:rFonts w:hint="eastAsia" w:ascii="宋体" w:hAnsi="宋体"/>
          <w:sz w:val="24"/>
        </w:rPr>
        <w:t>3、其他招标文件要求和投标人认为有必要的内容</w:t>
      </w:r>
    </w:p>
    <w:p>
      <w:pPr>
        <w:tabs>
          <w:tab w:val="left" w:pos="640"/>
          <w:tab w:val="left" w:pos="1260"/>
          <w:tab w:val="left" w:pos="1418"/>
        </w:tabs>
        <w:jc w:val="center"/>
        <w:rPr>
          <w:rFonts w:hint="eastAsia" w:ascii="宋体" w:hAnsi="宋体" w:cs="宋体"/>
          <w:b/>
          <w:bCs/>
          <w:sz w:val="24"/>
        </w:rPr>
      </w:pPr>
    </w:p>
    <w:p>
      <w:pPr>
        <w:tabs>
          <w:tab w:val="left" w:pos="640"/>
          <w:tab w:val="left" w:pos="1260"/>
          <w:tab w:val="left" w:pos="1418"/>
        </w:tabs>
        <w:jc w:val="center"/>
        <w:rPr>
          <w:rFonts w:ascii="宋体" w:hAnsi="宋体" w:cs="宋体"/>
          <w:b/>
          <w:bCs/>
          <w:sz w:val="24"/>
        </w:rPr>
      </w:pPr>
      <w:r>
        <w:rPr>
          <w:rFonts w:hint="eastAsia" w:ascii="宋体" w:hAnsi="宋体" w:cs="宋体"/>
          <w:b/>
          <w:bCs/>
          <w:sz w:val="24"/>
        </w:rPr>
        <w:t>注：以上各项请根据“招标项目评分表”中的要求自行填写并提供相应的证明材料。</w:t>
      </w:r>
    </w:p>
    <w:bookmarkEnd w:id="40"/>
    <w:p>
      <w:pPr>
        <w:tabs>
          <w:tab w:val="left" w:pos="640"/>
          <w:tab w:val="left" w:pos="1260"/>
          <w:tab w:val="left" w:pos="1418"/>
        </w:tabs>
        <w:spacing w:line="360" w:lineRule="auto"/>
        <w:ind w:right="-420" w:rightChars="-200"/>
        <w:rPr>
          <w:rFonts w:ascii="宋体" w:hAnsi="宋体" w:cs="宋体"/>
          <w:sz w:val="24"/>
          <w:lang w:val="fr-CH"/>
        </w:rPr>
      </w:pPr>
    </w:p>
    <w:p>
      <w:pPr>
        <w:tabs>
          <w:tab w:val="left" w:pos="360"/>
        </w:tabs>
        <w:spacing w:line="300" w:lineRule="auto"/>
        <w:jc w:val="center"/>
        <w:outlineLvl w:val="0"/>
        <w:rPr>
          <w:rFonts w:ascii="宋体" w:hAnsi="宋体" w:cs="宋体"/>
          <w:b/>
          <w:bCs/>
          <w:sz w:val="24"/>
        </w:rPr>
      </w:pPr>
      <w:r>
        <w:rPr>
          <w:rFonts w:hint="eastAsia" w:ascii="宋体" w:hAnsi="宋体" w:cs="宋体"/>
          <w:sz w:val="24"/>
          <w:lang w:val="fr-CH"/>
        </w:rPr>
        <w:br w:type="page"/>
      </w:r>
      <w:bookmarkStart w:id="46" w:name="_Toc742"/>
      <w:bookmarkStart w:id="47" w:name="_Toc6251"/>
      <w:r>
        <w:rPr>
          <w:rFonts w:hint="eastAsia" w:ascii="宋体" w:hAnsi="宋体" w:cs="宋体"/>
          <w:b/>
          <w:bCs/>
          <w:sz w:val="24"/>
        </w:rPr>
        <w:t>附件：相关政策</w:t>
      </w:r>
      <w:bookmarkEnd w:id="46"/>
      <w:bookmarkEnd w:id="47"/>
    </w:p>
    <w:p>
      <w:pPr>
        <w:tabs>
          <w:tab w:val="left" w:pos="360"/>
        </w:tabs>
        <w:outlineLvl w:val="1"/>
        <w:rPr>
          <w:rFonts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9"/>
        <w:tabs>
          <w:tab w:val="left" w:pos="562"/>
          <w:tab w:val="left" w:pos="3372"/>
          <w:tab w:val="left" w:pos="3653"/>
        </w:tabs>
        <w:rPr>
          <w:rFonts w:ascii="宋体" w:hAnsi="宋体" w:cs="宋体"/>
        </w:rPr>
      </w:pPr>
    </w:p>
    <w:p>
      <w:pPr>
        <w:widowControl/>
        <w:shd w:val="clear" w:color="auto" w:fill="FFFFFF"/>
        <w:jc w:val="center"/>
        <w:rPr>
          <w:rFonts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jc w:val="center"/>
        <w:rPr>
          <w:rFonts w:ascii="宋体" w:hAnsi="宋体" w:cs="宋体"/>
          <w:kern w:val="0"/>
          <w:sz w:val="24"/>
        </w:rPr>
      </w:pPr>
      <w:r>
        <w:rPr>
          <w:rFonts w:hint="eastAsia" w:ascii="宋体" w:hAnsi="宋体" w:cs="宋体"/>
          <w:kern w:val="0"/>
          <w:sz w:val="24"/>
        </w:rPr>
        <w:t>财库〔2020〕46号</w:t>
      </w:r>
    </w:p>
    <w:p>
      <w:pPr>
        <w:widowControl/>
        <w:shd w:val="clear" w:color="auto" w:fill="FFFFFF"/>
        <w:spacing w:after="240"/>
        <w:jc w:val="left"/>
        <w:rPr>
          <w:rFonts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jc w:val="right"/>
        <w:rPr>
          <w:rFonts w:ascii="宋体" w:hAnsi="宋体" w:cs="宋体"/>
          <w:kern w:val="0"/>
          <w:sz w:val="24"/>
        </w:rPr>
      </w:pPr>
      <w:r>
        <w:rPr>
          <w:rFonts w:hint="eastAsia" w:ascii="宋体" w:hAnsi="宋体" w:cs="宋体"/>
          <w:kern w:val="0"/>
          <w:sz w:val="24"/>
        </w:rPr>
        <w:t>财  政  部</w:t>
      </w:r>
    </w:p>
    <w:p>
      <w:pPr>
        <w:widowControl/>
        <w:shd w:val="clear" w:color="auto" w:fill="FFFFFF"/>
        <w:jc w:val="right"/>
        <w:rPr>
          <w:rFonts w:ascii="宋体" w:hAnsi="宋体" w:cs="宋体"/>
          <w:kern w:val="0"/>
          <w:sz w:val="24"/>
        </w:rPr>
      </w:pPr>
      <w:r>
        <w:rPr>
          <w:rFonts w:hint="eastAsia" w:ascii="宋体" w:hAnsi="宋体" w:cs="宋体"/>
          <w:kern w:val="0"/>
          <w:sz w:val="24"/>
        </w:rPr>
        <w:t>工业和信息化部</w:t>
      </w:r>
    </w:p>
    <w:p>
      <w:pPr>
        <w:widowControl/>
        <w:shd w:val="clear" w:color="auto" w:fill="FFFFFF"/>
        <w:jc w:val="right"/>
        <w:rPr>
          <w:rFonts w:ascii="宋体" w:hAnsi="宋体" w:cs="宋体"/>
          <w:kern w:val="0"/>
          <w:sz w:val="24"/>
        </w:rPr>
      </w:pPr>
      <w:r>
        <w:rPr>
          <w:rFonts w:hint="eastAsia" w:ascii="宋体" w:hAnsi="宋体" w:cs="宋体"/>
          <w:kern w:val="0"/>
          <w:sz w:val="24"/>
        </w:rPr>
        <w:t>2020年12月18日</w:t>
      </w:r>
    </w:p>
    <w:p>
      <w:pPr>
        <w:autoSpaceDE w:val="0"/>
        <w:autoSpaceDN w:val="0"/>
        <w:adjustRightInd w:val="0"/>
        <w:jc w:val="left"/>
        <w:rPr>
          <w:rFonts w:ascii="宋体" w:hAnsi="宋体" w:cs="宋体"/>
          <w:kern w:val="0"/>
          <w:sz w:val="24"/>
        </w:rPr>
      </w:pPr>
    </w:p>
    <w:p>
      <w:pPr>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政府采购促进中小企业发展管理办法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第四条 在政府采购活动中，供应商提供的货物、工程或者服务符合下列情形的，享受本办法规定的中小企业扶持政策：</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（一）在货物采购项目中，货物由中小企业制造，即货 物由中小企业生产且使用该中小企业商号或者注册商标；</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（二）在工程采购项目中，工程由中小企业承建，即工 程施工单位为中小企业；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ind w:firstLine="480" w:firstLineChars="200"/>
        <w:rPr>
          <w:rFonts w:ascii="宋体" w:hAnsi="宋体" w:cs="宋体"/>
        </w:rPr>
      </w:pPr>
      <w:r>
        <w:rPr>
          <w:rFonts w:hint="eastAsia" w:ascii="宋体" w:hAnsi="宋体" w:cs="宋体"/>
          <w:kern w:val="0"/>
        </w:rPr>
        <w:t>符合下列情形之一的，可不专门面向中小企业预留采购</w:t>
      </w:r>
      <w:r>
        <w:rPr>
          <w:rFonts w:hint="eastAsia" w:ascii="宋体" w:hAnsi="宋体" w:cs="宋体"/>
        </w:rPr>
        <w:t>份额：</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（一）法律法规和国家有关政策明确规定优先或者应当面向事业单位、社会组织等非企业主体采购的；</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（二）因确需使用不可替代的专利、专有技术，基础设施限制，或者提供特定公共服务等原因，只能从中小企业之外的供应商处采购的；</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（三）按照本办法规定预留采购份额无法确保充分供应、充分竞争，或者存在可能影响政府采购目标实现的情形；</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（四）框架协议采购项目；</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（五）省级以上人民政府财政部门规定的其他情形。 除上述情形外，其他均为适宜由中小企业提供的情形。</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第七条采购限额标准以上，200万元以下的货物和服务采购项目、400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（一）将采购项目整体或者设置采购包专门面向中小企业采购；</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（二）要求供应商以联合体形式参加采购活动，且联合体中中小企业承担的部分达到一定比例；</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（三）要求获得采购合同的供应商将采购项目中的一定比例分包给一家或者多家中小企业。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组成联合体或者接受分包合同的中小企业与联合体内 其他企业、分包企业之间不得存在直接控股、管理关系。</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第十二条 采购项目涉及中小企业采购的，采购文件应当明确以下内容：</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（一）预留份额的采购项目或者采购包，明确该项目或相关采购包专门面向中小企业采购，以及相关标的及预算金额；</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（三）非预留份额的采购项目或者采购包，明确有关价格扣除比例或者价格分加分比例；</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（五）采购人认为具备相关条件的，明确对中小企业在资金支付期限、预付款比例等方面的优惠措施；</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（六）明确采购标的对应的中小企业划分标准所属行业；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（七）法律法规和省级以上人民政府财政部门规定的其他事项。</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适用招标投标法的政府采购工程建设项目，应当在公示中标候选人时公开中标候选人的《中小企业声明函》。</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第二十二条 对外援助项目、国家相关资格或者资质管理制度另有规定的项目，不适用本办法。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第二十三条 关于视同中小企业的其他主体的政府采购扶持政策，由财政部会同有关部门另行规定。</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第二十四条 省级财政部门可以会同中小企业主管部门根据本办法的规定制定具体实施办法。</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rPr>
          <w:rFonts w:ascii="宋体" w:hAnsi="宋体" w:cs="宋体"/>
        </w:rPr>
      </w:pPr>
    </w:p>
    <w:p>
      <w:pPr>
        <w:pStyle w:val="9"/>
        <w:tabs>
          <w:tab w:val="left" w:pos="562"/>
          <w:tab w:val="left" w:pos="3372"/>
          <w:tab w:val="left" w:pos="3653"/>
        </w:tabs>
        <w:ind w:firstLine="480" w:firstLineChars="200"/>
        <w:outlineLvl w:val="0"/>
        <w:rPr>
          <w:rFonts w:ascii="宋体" w:hAnsi="宋体" w:cs="宋体"/>
          <w:kern w:val="0"/>
        </w:rPr>
      </w:pPr>
      <w:r>
        <w:rPr>
          <w:rFonts w:hint="eastAsia" w:ascii="宋体" w:hAnsi="宋体" w:cs="宋体"/>
          <w:kern w:val="0"/>
        </w:rPr>
        <w:t>附：1.中小企业声明函</w:t>
      </w:r>
    </w:p>
    <w:p>
      <w:pPr>
        <w:pStyle w:val="9"/>
        <w:tabs>
          <w:tab w:val="left" w:pos="562"/>
          <w:tab w:val="left" w:pos="3372"/>
          <w:tab w:val="left" w:pos="3653"/>
        </w:tabs>
        <w:ind w:firstLine="960" w:firstLineChars="400"/>
        <w:rPr>
          <w:rFonts w:ascii="宋体" w:hAnsi="宋体" w:cs="宋体"/>
          <w:kern w:val="0"/>
        </w:rPr>
      </w:pPr>
      <w:r>
        <w:rPr>
          <w:rFonts w:hint="eastAsia" w:ascii="宋体" w:hAnsi="宋体" w:cs="宋体"/>
          <w:kern w:val="0"/>
        </w:rPr>
        <w:t>2.面向中小企业预留项目执行情况公告</w:t>
      </w:r>
    </w:p>
    <w:p>
      <w:pPr>
        <w:pStyle w:val="9"/>
        <w:tabs>
          <w:tab w:val="left" w:pos="562"/>
          <w:tab w:val="left" w:pos="3372"/>
          <w:tab w:val="left" w:pos="3653"/>
        </w:tabs>
        <w:spacing w:before="30"/>
        <w:outlineLvl w:val="0"/>
        <w:rPr>
          <w:rFonts w:ascii="宋体" w:hAnsi="宋体" w:cs="宋体"/>
          <w:b/>
          <w:bCs/>
        </w:rPr>
      </w:pPr>
      <w:r>
        <w:rPr>
          <w:rFonts w:hint="eastAsia" w:ascii="宋体" w:hAnsi="宋体" w:cs="宋体"/>
          <w:b/>
          <w:bCs/>
        </w:rPr>
        <w:br w:type="page"/>
      </w:r>
      <w:r>
        <w:rPr>
          <w:rFonts w:hint="eastAsia" w:ascii="宋体" w:hAnsi="宋体" w:cs="宋体"/>
          <w:b/>
          <w:bCs/>
        </w:rPr>
        <w:t>附 1</w:t>
      </w:r>
    </w:p>
    <w:p>
      <w:pPr>
        <w:spacing w:after="319" w:afterLines="100"/>
        <w:jc w:val="center"/>
        <w:rPr>
          <w:rFonts w:ascii="宋体" w:hAnsi="宋体" w:cs="宋体"/>
          <w:sz w:val="24"/>
        </w:rPr>
      </w:pPr>
      <w:r>
        <w:rPr>
          <w:rFonts w:hint="eastAsia" w:ascii="宋体" w:hAnsi="宋体" w:cs="宋体"/>
          <w:sz w:val="24"/>
        </w:rPr>
        <w:t>中小企业声明函（货物）</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ind w:firstLine="480" w:firstLineChars="200"/>
        <w:rPr>
          <w:rFonts w:ascii="宋体" w:hAnsi="宋体" w:cs="宋体"/>
          <w:kern w:val="0"/>
        </w:rPr>
      </w:pPr>
      <w:r>
        <w:rPr>
          <w:rFonts w:hint="eastAsia" w:ascii="宋体" w:hAnsi="宋体" w:cs="宋体"/>
          <w:kern w:val="0"/>
        </w:rPr>
        <w:t>1、（</w:t>
      </w:r>
      <w:r>
        <w:rPr>
          <w:rFonts w:hint="eastAsia" w:ascii="宋体" w:hAnsi="宋体" w:cs="宋体"/>
          <w:kern w:val="0"/>
          <w:u w:val="single"/>
        </w:rPr>
        <w:t>标的名称</w:t>
      </w:r>
      <w:r>
        <w:rPr>
          <w:rFonts w:hint="eastAsia" w:ascii="宋体" w:hAnsi="宋体" w:cs="宋体"/>
          <w:kern w:val="0"/>
        </w:rPr>
        <w:t>），属于（</w:t>
      </w:r>
      <w:r>
        <w:rPr>
          <w:rFonts w:hint="eastAsia" w:ascii="宋体" w:hAnsi="宋体" w:cs="宋体"/>
          <w:kern w:val="0"/>
          <w:u w:val="single"/>
        </w:rPr>
        <w:t>采购文件中明确的所属行业</w:t>
      </w:r>
      <w:r>
        <w:rPr>
          <w:rFonts w:hint="eastAsia" w:ascii="宋体" w:hAnsi="宋体" w:cs="宋体"/>
          <w:kern w:val="0"/>
        </w:rPr>
        <w:t>）；制造商为（</w:t>
      </w:r>
      <w:r>
        <w:rPr>
          <w:rFonts w:hint="eastAsia" w:ascii="宋体" w:hAnsi="宋体" w:cs="宋体"/>
          <w:kern w:val="0"/>
          <w:u w:val="single"/>
        </w:rPr>
        <w:t>企业名称</w:t>
      </w:r>
      <w:r>
        <w:rPr>
          <w:rFonts w:hint="eastAsia" w:ascii="宋体" w:hAnsi="宋体" w:cs="宋体"/>
          <w:kern w:val="0"/>
        </w:rPr>
        <w:t>），从业人员</w:t>
      </w:r>
      <w:r>
        <w:rPr>
          <w:rFonts w:hint="eastAsia" w:ascii="宋体" w:hAnsi="宋体" w:cs="宋体"/>
          <w:kern w:val="0"/>
          <w:u w:val="single"/>
        </w:rPr>
        <w:tab/>
      </w:r>
      <w:r>
        <w:rPr>
          <w:rFonts w:hint="eastAsia" w:ascii="宋体" w:hAnsi="宋体" w:cs="宋体"/>
          <w:kern w:val="0"/>
        </w:rPr>
        <w:t xml:space="preserve">人，营业收入为 </w:t>
      </w:r>
      <w:r>
        <w:rPr>
          <w:rFonts w:hint="eastAsia" w:ascii="宋体" w:hAnsi="宋体" w:cs="宋体"/>
          <w:kern w:val="0"/>
          <w:u w:val="single"/>
        </w:rPr>
        <w:tab/>
      </w:r>
      <w:r>
        <w:rPr>
          <w:rFonts w:hint="eastAsia" w:ascii="宋体" w:hAnsi="宋体" w:cs="宋体"/>
          <w:kern w:val="0"/>
        </w:rPr>
        <w:t>万元，资产总额为</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万元，属于（</w:t>
      </w:r>
      <w:r>
        <w:rPr>
          <w:rFonts w:hint="eastAsia" w:ascii="宋体" w:hAnsi="宋体" w:cs="宋体"/>
          <w:kern w:val="0"/>
          <w:u w:val="single"/>
        </w:rPr>
        <w:t>中型企业、小型企业、微型企业</w:t>
      </w:r>
      <w:r>
        <w:rPr>
          <w:rFonts w:hint="eastAsia" w:ascii="宋体" w:hAnsi="宋体" w:cs="宋体"/>
          <w:kern w:val="0"/>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）；制造商为（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 xml:space="preserve">    </w:t>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 xml:space="preserve">   </w:t>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本企业对上述声明内容的真实性负责。如有虚假，将依法承担相应责任。</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ascii="宋体" w:hAnsi="宋体" w:cs="宋体"/>
        </w:rPr>
      </w:pPr>
      <w:r>
        <w:rPr>
          <w:rFonts w:hint="eastAsia" w:ascii="宋体" w:hAnsi="宋体" w:cs="宋体"/>
          <w:spacing w:val="-2"/>
        </w:rPr>
        <w:t>企业名称（盖章）日期：</w:t>
      </w:r>
    </w:p>
    <w:p>
      <w:pPr>
        <w:pStyle w:val="9"/>
        <w:tabs>
          <w:tab w:val="left" w:pos="562"/>
          <w:tab w:val="left" w:pos="3372"/>
          <w:tab w:val="left" w:pos="3653"/>
        </w:tabs>
        <w:jc w:val="center"/>
        <w:rPr>
          <w:rFonts w:ascii="宋体" w:hAnsi="宋体" w:cs="宋体"/>
          <w:spacing w:val="-2"/>
        </w:rPr>
      </w:pPr>
      <w:r>
        <w:rPr>
          <w:rFonts w:hint="eastAsia" w:ascii="宋体" w:hAnsi="宋体" w:cs="宋体"/>
          <w:spacing w:val="-2"/>
        </w:rPr>
        <w:t>从业人员、营业收入、资产总额填报上一年度数据，无上一年度数据的新成立企业可不填报。</w:t>
      </w:r>
    </w:p>
    <w:p>
      <w:pPr>
        <w:spacing w:after="319" w:afterLines="100"/>
        <w:jc w:val="center"/>
        <w:rPr>
          <w:rFonts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本公司（联合体）郑重声明，根据《政府采购促进中小企业发展管理办法》（财库﹝2020﹞46 号）的规定，本公司（联合体）参加（</w:t>
      </w:r>
      <w:r>
        <w:rPr>
          <w:rFonts w:hint="eastAsia" w:ascii="宋体" w:hAnsi="宋体" w:cs="宋体"/>
          <w:spacing w:val="-2"/>
          <w:u w:val="single"/>
        </w:rPr>
        <w:t>单位名称</w:t>
      </w:r>
      <w:r>
        <w:rPr>
          <w:rFonts w:hint="eastAsia" w:ascii="宋体" w:hAnsi="宋体" w:cs="宋体"/>
          <w:spacing w:val="-2"/>
        </w:rPr>
        <w:t>）的（</w:t>
      </w:r>
      <w:r>
        <w:rPr>
          <w:rFonts w:hint="eastAsia" w:ascii="宋体" w:hAnsi="宋体" w:cs="宋体"/>
          <w:spacing w:val="-2"/>
          <w:u w:val="single"/>
        </w:rPr>
        <w:t>项目名称</w:t>
      </w:r>
      <w:r>
        <w:rPr>
          <w:rFonts w:hint="eastAsia" w:ascii="宋体" w:hAnsi="宋体" w:cs="宋体"/>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1、（</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2、（</w:t>
      </w:r>
      <w:r>
        <w:rPr>
          <w:rFonts w:hint="eastAsia" w:ascii="宋体" w:hAnsi="宋体" w:cs="宋体"/>
          <w:spacing w:val="-2"/>
          <w:u w:val="single"/>
        </w:rPr>
        <w:t>标的名称</w:t>
      </w:r>
      <w:r>
        <w:rPr>
          <w:rFonts w:hint="eastAsia" w:ascii="宋体" w:hAnsi="宋体" w:cs="宋体"/>
          <w:spacing w:val="-2"/>
        </w:rPr>
        <w:t>），属于（</w:t>
      </w:r>
      <w:r>
        <w:rPr>
          <w:rFonts w:hint="eastAsia" w:ascii="宋体" w:hAnsi="宋体" w:cs="宋体"/>
          <w:spacing w:val="-2"/>
          <w:u w:val="single"/>
        </w:rPr>
        <w:t>采购文件中明确的所属行业</w:t>
      </w:r>
      <w:r>
        <w:rPr>
          <w:rFonts w:hint="eastAsia" w:ascii="宋体" w:hAnsi="宋体" w:cs="宋体"/>
          <w:spacing w:val="-2"/>
        </w:rPr>
        <w:t>） ；承建（承接）企业为（</w:t>
      </w:r>
      <w:r>
        <w:rPr>
          <w:rFonts w:hint="eastAsia" w:ascii="宋体" w:hAnsi="宋体" w:cs="宋体"/>
          <w:spacing w:val="-2"/>
          <w:u w:val="single"/>
        </w:rPr>
        <w:t>企业名称</w:t>
      </w:r>
      <w:r>
        <w:rPr>
          <w:rFonts w:hint="eastAsia" w:ascii="宋体" w:hAnsi="宋体" w:cs="宋体"/>
          <w:spacing w:val="-2"/>
        </w:rPr>
        <w:t>），从业人员</w:t>
      </w:r>
      <w:r>
        <w:rPr>
          <w:rFonts w:hint="eastAsia" w:ascii="宋体" w:hAnsi="宋体" w:cs="宋体"/>
          <w:spacing w:val="-2"/>
          <w:u w:val="single"/>
        </w:rPr>
        <w:tab/>
      </w:r>
      <w:r>
        <w:rPr>
          <w:rFonts w:hint="eastAsia" w:ascii="宋体" w:hAnsi="宋体" w:cs="宋体"/>
          <w:spacing w:val="-2"/>
        </w:rPr>
        <w:t>人，营业收入为</w:t>
      </w:r>
      <w:r>
        <w:rPr>
          <w:rFonts w:hint="eastAsia" w:ascii="宋体" w:hAnsi="宋体" w:cs="宋体"/>
          <w:spacing w:val="-2"/>
          <w:u w:val="single"/>
        </w:rPr>
        <w:tab/>
      </w:r>
      <w:r>
        <w:rPr>
          <w:rFonts w:hint="eastAsia" w:ascii="宋体" w:hAnsi="宋体" w:cs="宋体"/>
          <w:spacing w:val="-2"/>
        </w:rPr>
        <w:t>万元，资产总额为</w:t>
      </w:r>
      <w:r>
        <w:rPr>
          <w:rFonts w:hint="eastAsia" w:ascii="宋体" w:hAnsi="宋体" w:cs="宋体"/>
          <w:spacing w:val="-2"/>
          <w:u w:val="single"/>
        </w:rPr>
        <w:tab/>
      </w:r>
      <w:r>
        <w:rPr>
          <w:rFonts w:hint="eastAsia" w:ascii="宋体" w:hAnsi="宋体" w:cs="宋体"/>
          <w:spacing w:val="-2"/>
        </w:rPr>
        <w:t>万元，属于（</w:t>
      </w:r>
      <w:r>
        <w:rPr>
          <w:rFonts w:hint="eastAsia" w:ascii="宋体" w:hAnsi="宋体" w:cs="宋体"/>
          <w:spacing w:val="-2"/>
          <w:u w:val="single"/>
        </w:rPr>
        <w:t>中型企业、小型企业、微型企业</w:t>
      </w: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本企业对上述声明内容的真实性负责。如有虚假，将依法承担相应责任。</w:t>
      </w:r>
    </w:p>
    <w:p>
      <w:pPr>
        <w:pStyle w:val="9"/>
        <w:tabs>
          <w:tab w:val="left" w:pos="562"/>
          <w:tab w:val="left" w:pos="3372"/>
          <w:tab w:val="left" w:pos="3653"/>
        </w:tabs>
        <w:ind w:firstLine="472" w:firstLineChars="200"/>
        <w:rPr>
          <w:rFonts w:ascii="宋体" w:hAnsi="宋体" w:cs="宋体"/>
          <w:spacing w:val="-2"/>
        </w:rPr>
      </w:pPr>
    </w:p>
    <w:p>
      <w:pPr>
        <w:pStyle w:val="9"/>
        <w:tabs>
          <w:tab w:val="left" w:pos="562"/>
          <w:tab w:val="left" w:pos="3372"/>
          <w:tab w:val="left" w:pos="3653"/>
        </w:tabs>
        <w:ind w:firstLine="472" w:firstLineChars="200"/>
        <w:rPr>
          <w:rFonts w:ascii="宋体" w:hAnsi="宋体" w:cs="宋体"/>
          <w:spacing w:val="-2"/>
        </w:rPr>
      </w:pPr>
      <w:r>
        <w:rPr>
          <w:rFonts w:hint="eastAsia" w:ascii="宋体" w:hAnsi="宋体" w:cs="宋体"/>
          <w:spacing w:val="-2"/>
        </w:rPr>
        <w:t>注意事项：</w:t>
      </w:r>
    </w:p>
    <w:p>
      <w:pPr>
        <w:pStyle w:val="9"/>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1.从业人员、营业收入、资产总额填报上一年度数据，无上一年度数据的新成立企业可不填报。</w:t>
      </w:r>
    </w:p>
    <w:p>
      <w:pPr>
        <w:pStyle w:val="9"/>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9"/>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3.事业单位、社会组织等非企业主体不享受中小企业扶持政策，但事业单位、社会组织等非企业主体提供全部由中小企业制造的货物参加货物采购项目的除外。</w:t>
      </w:r>
    </w:p>
    <w:p>
      <w:pPr>
        <w:pStyle w:val="9"/>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4.相关承接/承建企业的所属行业应当与采购标的所属行业（采购文件中明确的行业）相一致。</w:t>
      </w:r>
    </w:p>
    <w:p>
      <w:pPr>
        <w:pStyle w:val="9"/>
        <w:tabs>
          <w:tab w:val="left" w:pos="562"/>
          <w:tab w:val="left" w:pos="3372"/>
          <w:tab w:val="left" w:pos="3653"/>
        </w:tabs>
        <w:spacing w:after="0"/>
        <w:ind w:firstLine="472" w:firstLineChars="200"/>
        <w:rPr>
          <w:rFonts w:ascii="宋体" w:hAnsi="宋体" w:cs="宋体"/>
          <w:spacing w:val="-2"/>
        </w:rPr>
      </w:pPr>
      <w:r>
        <w:rPr>
          <w:rFonts w:hint="eastAsia" w:ascii="宋体" w:hAnsi="宋体" w:cs="宋体"/>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ascii="宋体" w:hAnsi="宋体" w:cs="宋体"/>
          <w:spacing w:val="-2"/>
        </w:rPr>
      </w:pPr>
    </w:p>
    <w:p>
      <w:pPr>
        <w:pStyle w:val="9"/>
        <w:tabs>
          <w:tab w:val="left" w:pos="562"/>
          <w:tab w:val="left" w:pos="3372"/>
          <w:tab w:val="left" w:pos="3653"/>
        </w:tabs>
        <w:ind w:left="4200" w:leftChars="2000"/>
        <w:rPr>
          <w:rFonts w:ascii="宋体" w:hAnsi="宋体" w:cs="宋体"/>
          <w:spacing w:val="-2"/>
        </w:rPr>
      </w:pPr>
      <w:r>
        <w:rPr>
          <w:rFonts w:hint="eastAsia" w:ascii="宋体" w:hAnsi="宋体" w:cs="宋体"/>
          <w:spacing w:val="-2"/>
        </w:rPr>
        <w:t>企业名称（盖章）日期：</w:t>
      </w:r>
    </w:p>
    <w:p>
      <w:pPr>
        <w:pStyle w:val="9"/>
        <w:tabs>
          <w:tab w:val="left" w:pos="562"/>
          <w:tab w:val="left" w:pos="3372"/>
          <w:tab w:val="left" w:pos="3653"/>
        </w:tabs>
        <w:spacing w:before="30"/>
        <w:rPr>
          <w:rFonts w:ascii="宋体" w:hAnsi="宋体" w:cs="宋体"/>
        </w:rPr>
      </w:pPr>
      <w:r>
        <w:rPr>
          <w:rFonts w:hint="eastAsia" w:ascii="宋体" w:hAnsi="宋体" w:cs="宋体"/>
          <w:spacing w:val="-2"/>
        </w:rPr>
        <w:t>从业人员、营业收入、资产总额填报上一年度数据，无上一年度数据的新成立企业可不填报。</w:t>
      </w:r>
      <w:r>
        <w:rPr>
          <w:rFonts w:hint="eastAsia" w:ascii="宋体" w:hAnsi="宋体" w:cs="宋体"/>
        </w:rPr>
        <w:br w:type="page"/>
      </w:r>
      <w:r>
        <w:rPr>
          <w:rFonts w:hint="eastAsia" w:ascii="宋体" w:hAnsi="宋体" w:cs="宋体"/>
          <w:b/>
          <w:bCs/>
        </w:rPr>
        <w:t>附 2</w:t>
      </w:r>
    </w:p>
    <w:p>
      <w:pPr>
        <w:jc w:val="center"/>
        <w:rPr>
          <w:rFonts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9"/>
        <w:tabs>
          <w:tab w:val="left" w:pos="562"/>
          <w:tab w:val="left" w:pos="3372"/>
          <w:tab w:val="left" w:pos="3653"/>
        </w:tabs>
        <w:ind w:firstLine="480" w:firstLineChars="200"/>
        <w:rPr>
          <w:rFonts w:ascii="宋体" w:hAnsi="宋体" w:cs="宋体"/>
        </w:rPr>
      </w:pPr>
      <w:r>
        <w:rPr>
          <w:rFonts w:hint="eastAsia" w:ascii="宋体" w:hAnsi="宋体" w:cs="宋体"/>
        </w:rPr>
        <w:t>根据《政府采购促进中小企业发展管理办法》（财库﹝2020﹞46</w:t>
      </w:r>
      <w:r>
        <w:rPr>
          <w:rFonts w:hint="eastAsia" w:ascii="宋体" w:hAnsi="宋体" w:cs="宋体"/>
          <w:spacing w:val="-47"/>
        </w:rPr>
        <w:t xml:space="preserve"> 号</w:t>
      </w:r>
      <w:r>
        <w:rPr>
          <w:rFonts w:hint="eastAsia" w:ascii="宋体" w:hAnsi="宋体" w:cs="宋体"/>
          <w:spacing w:val="-22"/>
        </w:rPr>
        <w:t>）</w:t>
      </w:r>
      <w:r>
        <w:rPr>
          <w:rFonts w:hint="eastAsia" w:ascii="宋体" w:hAnsi="宋体" w:cs="宋体"/>
          <w:spacing w:val="-7"/>
        </w:rPr>
        <w:t>要求，现对本部门</w:t>
      </w:r>
      <w:r>
        <w:rPr>
          <w:rFonts w:hint="eastAsia" w:ascii="宋体" w:hAnsi="宋体" w:cs="宋体"/>
          <w:spacing w:val="-3"/>
        </w:rPr>
        <w:t>（</w:t>
      </w:r>
      <w:r>
        <w:rPr>
          <w:rFonts w:hint="eastAsia" w:ascii="宋体" w:hAnsi="宋体" w:cs="宋体"/>
        </w:rPr>
        <w:t>单位</w:t>
      </w:r>
      <w:r>
        <w:rPr>
          <w:rFonts w:hint="eastAsia" w:ascii="宋体" w:hAnsi="宋体" w:cs="宋体"/>
          <w:spacing w:val="-7"/>
        </w:rPr>
        <w:t>）</w:t>
      </w:r>
      <w:r>
        <w:rPr>
          <w:rFonts w:hint="eastAsia" w:ascii="宋体" w:hAnsi="宋体" w:cs="宋体"/>
          <w:spacing w:val="-4"/>
        </w:rPr>
        <w:t>××年面向中小企业预留项目执行情况公告如下：</w:t>
      </w:r>
    </w:p>
    <w:p>
      <w:pPr>
        <w:pStyle w:val="9"/>
        <w:tabs>
          <w:tab w:val="left" w:pos="562"/>
          <w:tab w:val="left" w:pos="3372"/>
          <w:tab w:val="left" w:pos="3653"/>
        </w:tabs>
        <w:ind w:firstLine="480" w:firstLineChars="200"/>
        <w:rPr>
          <w:rFonts w:ascii="宋体" w:hAnsi="宋体" w:cs="宋体"/>
        </w:rPr>
      </w:pPr>
      <w:r>
        <w:rPr>
          <w:rFonts w:hint="eastAsia" w:ascii="宋体" w:hAnsi="宋体" w:cs="宋体"/>
        </w:rPr>
        <w:t>本部门（单位）××年预留项目面向中小企业采购共计××万元，其中，面向小微企业采购××万元，占××%。</w:t>
      </w:r>
    </w:p>
    <w:p>
      <w:pPr>
        <w:pStyle w:val="9"/>
        <w:tabs>
          <w:tab w:val="left" w:pos="562"/>
          <w:tab w:val="left" w:pos="3372"/>
          <w:tab w:val="left" w:pos="3653"/>
        </w:tabs>
        <w:jc w:val="center"/>
        <w:rPr>
          <w:rFonts w:ascii="宋体" w:hAnsi="宋体" w:cs="宋体"/>
          <w:b/>
          <w:bCs/>
        </w:rPr>
      </w:pPr>
      <w:r>
        <w:rPr>
          <w:rFonts w:hint="eastAsia" w:ascii="宋体" w:hAnsi="宋体" w:cs="宋体"/>
          <w:b/>
          <w:bCs/>
        </w:rPr>
        <w:t>面向中小企业预留项目明细</w:t>
      </w:r>
    </w:p>
    <w:tbl>
      <w:tblPr>
        <w:tblStyle w:val="21"/>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40"/>
              <w:jc w:val="center"/>
              <w:rPr>
                <w:b/>
                <w:sz w:val="24"/>
                <w:szCs w:val="24"/>
              </w:rPr>
            </w:pPr>
            <w:r>
              <w:rPr>
                <w:rFonts w:hint="eastAsia"/>
                <w:b/>
                <w:sz w:val="24"/>
                <w:szCs w:val="24"/>
              </w:rPr>
              <w:t>序号</w:t>
            </w:r>
          </w:p>
        </w:tc>
        <w:tc>
          <w:tcPr>
            <w:tcW w:w="1866" w:type="dxa"/>
            <w:noWrap w:val="0"/>
            <w:vAlign w:val="center"/>
          </w:tcPr>
          <w:p>
            <w:pPr>
              <w:pStyle w:val="40"/>
              <w:jc w:val="center"/>
              <w:rPr>
                <w:b/>
                <w:sz w:val="24"/>
                <w:szCs w:val="24"/>
              </w:rPr>
            </w:pPr>
            <w:r>
              <w:rPr>
                <w:rFonts w:hint="eastAsia"/>
                <w:b/>
                <w:sz w:val="24"/>
                <w:szCs w:val="24"/>
              </w:rPr>
              <w:t>项目名称</w:t>
            </w:r>
          </w:p>
        </w:tc>
        <w:tc>
          <w:tcPr>
            <w:tcW w:w="2010" w:type="dxa"/>
            <w:noWrap w:val="0"/>
            <w:vAlign w:val="center"/>
          </w:tcPr>
          <w:p>
            <w:pPr>
              <w:pStyle w:val="40"/>
              <w:jc w:val="center"/>
              <w:rPr>
                <w:b/>
                <w:sz w:val="24"/>
                <w:szCs w:val="24"/>
              </w:rPr>
            </w:pPr>
            <w:r>
              <w:rPr>
                <w:rFonts w:hint="eastAsia"/>
                <w:b/>
                <w:sz w:val="24"/>
                <w:szCs w:val="24"/>
              </w:rPr>
              <w:t>预留选项</w:t>
            </w:r>
          </w:p>
        </w:tc>
        <w:tc>
          <w:tcPr>
            <w:tcW w:w="2296" w:type="dxa"/>
            <w:noWrap w:val="0"/>
            <w:vAlign w:val="center"/>
          </w:tcPr>
          <w:p>
            <w:pPr>
              <w:pStyle w:val="40"/>
              <w:jc w:val="center"/>
              <w:rPr>
                <w:b/>
                <w:sz w:val="24"/>
                <w:szCs w:val="24"/>
              </w:rPr>
            </w:pPr>
            <w:r>
              <w:rPr>
                <w:rFonts w:hint="eastAsia"/>
                <w:b/>
                <w:sz w:val="24"/>
                <w:szCs w:val="24"/>
              </w:rPr>
              <w:t>面向中小企业采购金额</w:t>
            </w:r>
          </w:p>
        </w:tc>
        <w:tc>
          <w:tcPr>
            <w:tcW w:w="1784" w:type="dxa"/>
            <w:noWrap w:val="0"/>
            <w:vAlign w:val="center"/>
          </w:tcPr>
          <w:p>
            <w:pPr>
              <w:pStyle w:val="40"/>
              <w:jc w:val="center"/>
              <w:rPr>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40"/>
              <w:jc w:val="center"/>
              <w:rPr>
                <w:sz w:val="24"/>
                <w:szCs w:val="24"/>
              </w:rPr>
            </w:pPr>
          </w:p>
        </w:tc>
        <w:tc>
          <w:tcPr>
            <w:tcW w:w="1866" w:type="dxa"/>
            <w:tcBorders>
              <w:bottom w:val="nil"/>
            </w:tcBorders>
            <w:noWrap w:val="0"/>
            <w:vAlign w:val="center"/>
          </w:tcPr>
          <w:p>
            <w:pPr>
              <w:pStyle w:val="40"/>
              <w:jc w:val="center"/>
              <w:rPr>
                <w:sz w:val="24"/>
                <w:szCs w:val="24"/>
              </w:rPr>
            </w:pPr>
          </w:p>
        </w:tc>
        <w:tc>
          <w:tcPr>
            <w:tcW w:w="2010" w:type="dxa"/>
            <w:tcBorders>
              <w:bottom w:val="nil"/>
            </w:tcBorders>
            <w:noWrap w:val="0"/>
            <w:vAlign w:val="center"/>
          </w:tcPr>
          <w:p>
            <w:pPr>
              <w:pStyle w:val="40"/>
              <w:jc w:val="center"/>
              <w:rPr>
                <w:sz w:val="24"/>
                <w:szCs w:val="24"/>
              </w:rPr>
            </w:pPr>
            <w:r>
              <w:rPr>
                <w:rFonts w:hint="eastAsia"/>
                <w:sz w:val="24"/>
                <w:szCs w:val="24"/>
              </w:rPr>
              <w:t>（填写“采购项</w:t>
            </w:r>
          </w:p>
        </w:tc>
        <w:tc>
          <w:tcPr>
            <w:tcW w:w="2296" w:type="dxa"/>
            <w:tcBorders>
              <w:bottom w:val="nil"/>
            </w:tcBorders>
            <w:noWrap w:val="0"/>
            <w:vAlign w:val="center"/>
          </w:tcPr>
          <w:p>
            <w:pPr>
              <w:pStyle w:val="40"/>
              <w:jc w:val="center"/>
              <w:rPr>
                <w:sz w:val="24"/>
                <w:szCs w:val="24"/>
              </w:rPr>
            </w:pPr>
          </w:p>
        </w:tc>
        <w:tc>
          <w:tcPr>
            <w:tcW w:w="1784" w:type="dxa"/>
            <w:vMerge w:val="restart"/>
            <w:noWrap w:val="0"/>
            <w:vAlign w:val="center"/>
          </w:tcPr>
          <w:p>
            <w:pPr>
              <w:pStyle w:val="40"/>
              <w:jc w:val="center"/>
              <w:rPr>
                <w:sz w:val="24"/>
                <w:szCs w:val="24"/>
              </w:rPr>
            </w:pPr>
          </w:p>
          <w:p>
            <w:pPr>
              <w:pStyle w:val="40"/>
              <w:jc w:val="center"/>
              <w:rPr>
                <w:sz w:val="24"/>
                <w:szCs w:val="24"/>
              </w:rPr>
            </w:pPr>
          </w:p>
          <w:p>
            <w:pPr>
              <w:pStyle w:val="40"/>
              <w:jc w:val="center"/>
              <w:rPr>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bottom w:val="nil"/>
            </w:tcBorders>
            <w:noWrap w:val="0"/>
            <w:vAlign w:val="center"/>
          </w:tcPr>
          <w:p>
            <w:pPr>
              <w:pStyle w:val="40"/>
              <w:jc w:val="center"/>
              <w:rPr>
                <w:sz w:val="24"/>
                <w:szCs w:val="24"/>
              </w:rPr>
            </w:pPr>
          </w:p>
        </w:tc>
        <w:tc>
          <w:tcPr>
            <w:tcW w:w="2010" w:type="dxa"/>
            <w:tcBorders>
              <w:top w:val="nil"/>
              <w:bottom w:val="nil"/>
            </w:tcBorders>
            <w:noWrap w:val="0"/>
            <w:vAlign w:val="center"/>
          </w:tcPr>
          <w:p>
            <w:pPr>
              <w:pStyle w:val="40"/>
              <w:jc w:val="center"/>
              <w:rPr>
                <w:sz w:val="24"/>
                <w:szCs w:val="24"/>
              </w:rPr>
            </w:pPr>
            <w:r>
              <w:rPr>
                <w:rFonts w:hint="eastAsia"/>
                <w:sz w:val="24"/>
                <w:szCs w:val="24"/>
              </w:rPr>
              <w:t>目整体预留”、</w:t>
            </w:r>
          </w:p>
        </w:tc>
        <w:tc>
          <w:tcPr>
            <w:tcW w:w="2296" w:type="dxa"/>
            <w:tcBorders>
              <w:top w:val="nil"/>
              <w:bottom w:val="nil"/>
            </w:tcBorders>
            <w:noWrap w:val="0"/>
            <w:vAlign w:val="center"/>
          </w:tcPr>
          <w:p>
            <w:pPr>
              <w:pStyle w:val="40"/>
              <w:jc w:val="center"/>
              <w:rPr>
                <w:sz w:val="24"/>
                <w:szCs w:val="24"/>
              </w:rPr>
            </w:pP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bottom w:val="nil"/>
            </w:tcBorders>
            <w:noWrap w:val="0"/>
            <w:vAlign w:val="center"/>
          </w:tcPr>
          <w:p>
            <w:pPr>
              <w:pStyle w:val="40"/>
              <w:jc w:val="center"/>
              <w:rPr>
                <w:sz w:val="24"/>
                <w:szCs w:val="24"/>
              </w:rPr>
            </w:pPr>
          </w:p>
        </w:tc>
        <w:tc>
          <w:tcPr>
            <w:tcW w:w="2010" w:type="dxa"/>
            <w:tcBorders>
              <w:top w:val="nil"/>
              <w:bottom w:val="nil"/>
            </w:tcBorders>
            <w:noWrap w:val="0"/>
            <w:vAlign w:val="center"/>
          </w:tcPr>
          <w:p>
            <w:pPr>
              <w:pStyle w:val="40"/>
              <w:jc w:val="center"/>
              <w:rPr>
                <w:sz w:val="24"/>
                <w:szCs w:val="24"/>
              </w:rPr>
            </w:pPr>
            <w:r>
              <w:rPr>
                <w:rFonts w:hint="eastAsia"/>
                <w:sz w:val="24"/>
                <w:szCs w:val="24"/>
              </w:rPr>
              <w:t>“设置专门采购</w:t>
            </w:r>
          </w:p>
        </w:tc>
        <w:tc>
          <w:tcPr>
            <w:tcW w:w="2296" w:type="dxa"/>
            <w:tcBorders>
              <w:top w:val="nil"/>
              <w:bottom w:val="nil"/>
            </w:tcBorders>
            <w:noWrap w:val="0"/>
            <w:vAlign w:val="center"/>
          </w:tcPr>
          <w:p>
            <w:pPr>
              <w:pStyle w:val="40"/>
              <w:jc w:val="center"/>
              <w:rPr>
                <w:sz w:val="24"/>
                <w:szCs w:val="24"/>
              </w:rPr>
            </w:pP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bottom w:val="nil"/>
            </w:tcBorders>
            <w:noWrap w:val="0"/>
            <w:vAlign w:val="center"/>
          </w:tcPr>
          <w:p>
            <w:pPr>
              <w:pStyle w:val="40"/>
              <w:jc w:val="center"/>
              <w:rPr>
                <w:sz w:val="24"/>
                <w:szCs w:val="24"/>
              </w:rPr>
            </w:pPr>
            <w:r>
              <w:rPr>
                <w:rFonts w:hint="eastAsia"/>
                <w:sz w:val="24"/>
                <w:szCs w:val="24"/>
              </w:rPr>
              <w:t>（填写集中采</w:t>
            </w:r>
          </w:p>
        </w:tc>
        <w:tc>
          <w:tcPr>
            <w:tcW w:w="2010" w:type="dxa"/>
            <w:tcBorders>
              <w:top w:val="nil"/>
              <w:bottom w:val="nil"/>
            </w:tcBorders>
            <w:noWrap w:val="0"/>
            <w:vAlign w:val="center"/>
          </w:tcPr>
          <w:p>
            <w:pPr>
              <w:pStyle w:val="40"/>
              <w:jc w:val="center"/>
              <w:rPr>
                <w:sz w:val="24"/>
                <w:szCs w:val="24"/>
              </w:rPr>
            </w:pPr>
            <w:r>
              <w:rPr>
                <w:rFonts w:hint="eastAsia"/>
                <w:sz w:val="24"/>
                <w:szCs w:val="24"/>
              </w:rPr>
              <w:t>包”、“要求以</w:t>
            </w:r>
          </w:p>
        </w:tc>
        <w:tc>
          <w:tcPr>
            <w:tcW w:w="2296" w:type="dxa"/>
            <w:tcBorders>
              <w:top w:val="nil"/>
              <w:bottom w:val="nil"/>
            </w:tcBorders>
            <w:noWrap w:val="0"/>
            <w:vAlign w:val="center"/>
          </w:tcPr>
          <w:p>
            <w:pPr>
              <w:pStyle w:val="40"/>
              <w:jc w:val="center"/>
              <w:rPr>
                <w:sz w:val="24"/>
                <w:szCs w:val="24"/>
              </w:rPr>
            </w:pP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bottom w:val="nil"/>
            </w:tcBorders>
            <w:noWrap w:val="0"/>
            <w:vAlign w:val="center"/>
          </w:tcPr>
          <w:p>
            <w:pPr>
              <w:pStyle w:val="40"/>
              <w:jc w:val="center"/>
              <w:rPr>
                <w:sz w:val="24"/>
                <w:szCs w:val="24"/>
              </w:rPr>
            </w:pPr>
            <w:r>
              <w:rPr>
                <w:rFonts w:hint="eastAsia"/>
                <w:sz w:val="24"/>
                <w:szCs w:val="24"/>
              </w:rPr>
              <w:t>购目录以内或</w:t>
            </w:r>
          </w:p>
        </w:tc>
        <w:tc>
          <w:tcPr>
            <w:tcW w:w="2010" w:type="dxa"/>
            <w:tcBorders>
              <w:top w:val="nil"/>
              <w:bottom w:val="nil"/>
            </w:tcBorders>
            <w:noWrap w:val="0"/>
            <w:vAlign w:val="center"/>
          </w:tcPr>
          <w:p>
            <w:pPr>
              <w:pStyle w:val="40"/>
              <w:jc w:val="center"/>
              <w:rPr>
                <w:sz w:val="24"/>
                <w:szCs w:val="24"/>
              </w:rPr>
            </w:pPr>
            <w:r>
              <w:rPr>
                <w:rFonts w:hint="eastAsia"/>
                <w:sz w:val="24"/>
                <w:szCs w:val="24"/>
              </w:rPr>
              <w:t>联合体形式参</w:t>
            </w:r>
          </w:p>
        </w:tc>
        <w:tc>
          <w:tcPr>
            <w:tcW w:w="2296" w:type="dxa"/>
            <w:tcBorders>
              <w:top w:val="nil"/>
              <w:bottom w:val="nil"/>
            </w:tcBorders>
            <w:noWrap w:val="0"/>
            <w:vAlign w:val="center"/>
          </w:tcPr>
          <w:p>
            <w:pPr>
              <w:pStyle w:val="40"/>
              <w:jc w:val="center"/>
              <w:rPr>
                <w:sz w:val="24"/>
                <w:szCs w:val="24"/>
              </w:rPr>
            </w:pPr>
            <w:r>
              <w:rPr>
                <w:rFonts w:hint="eastAsia"/>
                <w:sz w:val="24"/>
                <w:szCs w:val="24"/>
              </w:rPr>
              <w:t>（精确到万元）</w:t>
            </w: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bottom w:val="nil"/>
            </w:tcBorders>
            <w:noWrap w:val="0"/>
            <w:vAlign w:val="center"/>
          </w:tcPr>
          <w:p>
            <w:pPr>
              <w:pStyle w:val="40"/>
              <w:jc w:val="center"/>
              <w:rPr>
                <w:sz w:val="24"/>
                <w:szCs w:val="24"/>
              </w:rPr>
            </w:pPr>
            <w:r>
              <w:rPr>
                <w:rFonts w:hint="eastAsia"/>
                <w:sz w:val="24"/>
                <w:szCs w:val="24"/>
              </w:rPr>
              <w:t>者采购限额标</w:t>
            </w:r>
          </w:p>
        </w:tc>
        <w:tc>
          <w:tcPr>
            <w:tcW w:w="2010" w:type="dxa"/>
            <w:tcBorders>
              <w:top w:val="nil"/>
              <w:bottom w:val="nil"/>
            </w:tcBorders>
            <w:noWrap w:val="0"/>
            <w:vAlign w:val="center"/>
          </w:tcPr>
          <w:p>
            <w:pPr>
              <w:pStyle w:val="40"/>
              <w:jc w:val="center"/>
              <w:rPr>
                <w:sz w:val="24"/>
                <w:szCs w:val="24"/>
              </w:rPr>
            </w:pPr>
            <w:r>
              <w:rPr>
                <w:rFonts w:hint="eastAsia"/>
                <w:sz w:val="24"/>
                <w:szCs w:val="24"/>
              </w:rPr>
              <w:t>加”或者“要求</w:t>
            </w:r>
          </w:p>
        </w:tc>
        <w:tc>
          <w:tcPr>
            <w:tcW w:w="2296" w:type="dxa"/>
            <w:tcBorders>
              <w:top w:val="nil"/>
              <w:bottom w:val="nil"/>
            </w:tcBorders>
            <w:noWrap w:val="0"/>
            <w:vAlign w:val="center"/>
          </w:tcPr>
          <w:p>
            <w:pPr>
              <w:pStyle w:val="40"/>
              <w:jc w:val="center"/>
              <w:rPr>
                <w:sz w:val="24"/>
                <w:szCs w:val="24"/>
              </w:rPr>
            </w:pP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bottom w:val="nil"/>
            </w:tcBorders>
            <w:noWrap w:val="0"/>
            <w:vAlign w:val="center"/>
          </w:tcPr>
          <w:p>
            <w:pPr>
              <w:pStyle w:val="40"/>
              <w:jc w:val="center"/>
              <w:rPr>
                <w:sz w:val="24"/>
                <w:szCs w:val="24"/>
              </w:rPr>
            </w:pPr>
            <w:r>
              <w:rPr>
                <w:rFonts w:hint="eastAsia"/>
                <w:sz w:val="24"/>
                <w:szCs w:val="24"/>
              </w:rPr>
              <w:t>准以上的采购项目</w:t>
            </w:r>
          </w:p>
        </w:tc>
        <w:tc>
          <w:tcPr>
            <w:tcW w:w="2010" w:type="dxa"/>
            <w:tcBorders>
              <w:top w:val="nil"/>
              <w:bottom w:val="nil"/>
            </w:tcBorders>
            <w:noWrap w:val="0"/>
            <w:vAlign w:val="center"/>
          </w:tcPr>
          <w:p>
            <w:pPr>
              <w:pStyle w:val="40"/>
              <w:jc w:val="center"/>
              <w:rPr>
                <w:sz w:val="24"/>
                <w:szCs w:val="24"/>
              </w:rPr>
            </w:pPr>
            <w:r>
              <w:rPr>
                <w:rFonts w:hint="eastAsia"/>
                <w:sz w:val="24"/>
                <w:szCs w:val="24"/>
              </w:rPr>
              <w:t>合同分包”，除</w:t>
            </w:r>
          </w:p>
        </w:tc>
        <w:tc>
          <w:tcPr>
            <w:tcW w:w="2296" w:type="dxa"/>
            <w:tcBorders>
              <w:top w:val="nil"/>
              <w:bottom w:val="nil"/>
            </w:tcBorders>
            <w:noWrap w:val="0"/>
            <w:vAlign w:val="center"/>
          </w:tcPr>
          <w:p>
            <w:pPr>
              <w:pStyle w:val="40"/>
              <w:jc w:val="center"/>
              <w:rPr>
                <w:sz w:val="24"/>
                <w:szCs w:val="24"/>
              </w:rPr>
            </w:pP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bottom w:val="nil"/>
            </w:tcBorders>
            <w:noWrap w:val="0"/>
            <w:vAlign w:val="center"/>
          </w:tcPr>
          <w:p>
            <w:pPr>
              <w:pStyle w:val="40"/>
              <w:jc w:val="center"/>
              <w:rPr>
                <w:sz w:val="24"/>
                <w:szCs w:val="24"/>
              </w:rPr>
            </w:pPr>
          </w:p>
        </w:tc>
        <w:tc>
          <w:tcPr>
            <w:tcW w:w="2010" w:type="dxa"/>
            <w:tcBorders>
              <w:top w:val="nil"/>
              <w:bottom w:val="nil"/>
            </w:tcBorders>
            <w:noWrap w:val="0"/>
            <w:vAlign w:val="center"/>
          </w:tcPr>
          <w:p>
            <w:pPr>
              <w:pStyle w:val="40"/>
              <w:jc w:val="center"/>
              <w:rPr>
                <w:sz w:val="24"/>
                <w:szCs w:val="24"/>
              </w:rPr>
            </w:pPr>
            <w:r>
              <w:rPr>
                <w:rFonts w:hint="eastAsia"/>
                <w:sz w:val="24"/>
                <w:szCs w:val="24"/>
              </w:rPr>
              <w:t>“采购项目全部</w:t>
            </w:r>
          </w:p>
        </w:tc>
        <w:tc>
          <w:tcPr>
            <w:tcW w:w="2296" w:type="dxa"/>
            <w:tcBorders>
              <w:top w:val="nil"/>
              <w:bottom w:val="nil"/>
            </w:tcBorders>
            <w:noWrap w:val="0"/>
            <w:vAlign w:val="center"/>
          </w:tcPr>
          <w:p>
            <w:pPr>
              <w:pStyle w:val="40"/>
              <w:jc w:val="center"/>
              <w:rPr>
                <w:sz w:val="24"/>
                <w:szCs w:val="24"/>
              </w:rPr>
            </w:pP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bottom w:val="nil"/>
            </w:tcBorders>
            <w:noWrap w:val="0"/>
            <w:vAlign w:val="center"/>
          </w:tcPr>
          <w:p>
            <w:pPr>
              <w:pStyle w:val="40"/>
              <w:jc w:val="center"/>
              <w:rPr>
                <w:sz w:val="24"/>
                <w:szCs w:val="24"/>
              </w:rPr>
            </w:pPr>
          </w:p>
        </w:tc>
        <w:tc>
          <w:tcPr>
            <w:tcW w:w="2010" w:type="dxa"/>
            <w:tcBorders>
              <w:top w:val="nil"/>
              <w:bottom w:val="nil"/>
            </w:tcBorders>
            <w:noWrap w:val="0"/>
            <w:vAlign w:val="center"/>
          </w:tcPr>
          <w:p>
            <w:pPr>
              <w:pStyle w:val="40"/>
              <w:jc w:val="center"/>
              <w:rPr>
                <w:sz w:val="24"/>
                <w:szCs w:val="24"/>
              </w:rPr>
            </w:pPr>
            <w:r>
              <w:rPr>
                <w:rFonts w:hint="eastAsia"/>
                <w:sz w:val="24"/>
                <w:szCs w:val="24"/>
              </w:rPr>
              <w:t>预留”外，还应</w:t>
            </w:r>
          </w:p>
        </w:tc>
        <w:tc>
          <w:tcPr>
            <w:tcW w:w="2296" w:type="dxa"/>
            <w:tcBorders>
              <w:top w:val="nil"/>
              <w:bottom w:val="nil"/>
            </w:tcBorders>
            <w:noWrap w:val="0"/>
            <w:vAlign w:val="center"/>
          </w:tcPr>
          <w:p>
            <w:pPr>
              <w:pStyle w:val="40"/>
              <w:jc w:val="center"/>
              <w:rPr>
                <w:sz w:val="24"/>
                <w:szCs w:val="24"/>
              </w:rPr>
            </w:pP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bottom w:val="nil"/>
            </w:tcBorders>
            <w:noWrap w:val="0"/>
            <w:vAlign w:val="center"/>
          </w:tcPr>
          <w:p>
            <w:pPr>
              <w:pStyle w:val="40"/>
              <w:jc w:val="center"/>
              <w:rPr>
                <w:sz w:val="24"/>
                <w:szCs w:val="24"/>
              </w:rPr>
            </w:pPr>
          </w:p>
        </w:tc>
        <w:tc>
          <w:tcPr>
            <w:tcW w:w="2010" w:type="dxa"/>
            <w:tcBorders>
              <w:top w:val="nil"/>
              <w:bottom w:val="nil"/>
            </w:tcBorders>
            <w:noWrap w:val="0"/>
            <w:vAlign w:val="center"/>
          </w:tcPr>
          <w:p>
            <w:pPr>
              <w:pStyle w:val="40"/>
              <w:jc w:val="center"/>
              <w:rPr>
                <w:sz w:val="24"/>
                <w:szCs w:val="24"/>
              </w:rPr>
            </w:pPr>
            <w:r>
              <w:rPr>
                <w:rFonts w:hint="eastAsia"/>
                <w:sz w:val="24"/>
                <w:szCs w:val="24"/>
              </w:rPr>
              <w:t>当填写预留给中</w:t>
            </w:r>
          </w:p>
        </w:tc>
        <w:tc>
          <w:tcPr>
            <w:tcW w:w="2296" w:type="dxa"/>
            <w:tcBorders>
              <w:top w:val="nil"/>
              <w:bottom w:val="nil"/>
            </w:tcBorders>
            <w:noWrap w:val="0"/>
            <w:vAlign w:val="center"/>
          </w:tcPr>
          <w:p>
            <w:pPr>
              <w:pStyle w:val="40"/>
              <w:jc w:val="center"/>
              <w:rPr>
                <w:sz w:val="24"/>
                <w:szCs w:val="24"/>
              </w:rPr>
            </w:pP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sz w:val="24"/>
              </w:rPr>
            </w:pPr>
          </w:p>
        </w:tc>
        <w:tc>
          <w:tcPr>
            <w:tcW w:w="1866" w:type="dxa"/>
            <w:tcBorders>
              <w:top w:val="nil"/>
            </w:tcBorders>
            <w:noWrap w:val="0"/>
            <w:vAlign w:val="center"/>
          </w:tcPr>
          <w:p>
            <w:pPr>
              <w:pStyle w:val="40"/>
              <w:jc w:val="center"/>
              <w:rPr>
                <w:sz w:val="24"/>
                <w:szCs w:val="24"/>
              </w:rPr>
            </w:pPr>
          </w:p>
        </w:tc>
        <w:tc>
          <w:tcPr>
            <w:tcW w:w="2010" w:type="dxa"/>
            <w:tcBorders>
              <w:top w:val="nil"/>
            </w:tcBorders>
            <w:noWrap w:val="0"/>
            <w:vAlign w:val="center"/>
          </w:tcPr>
          <w:p>
            <w:pPr>
              <w:pStyle w:val="40"/>
              <w:jc w:val="center"/>
              <w:rPr>
                <w:sz w:val="24"/>
                <w:szCs w:val="24"/>
              </w:rPr>
            </w:pPr>
            <w:r>
              <w:rPr>
                <w:rFonts w:hint="eastAsia"/>
                <w:sz w:val="24"/>
                <w:szCs w:val="24"/>
              </w:rPr>
              <w:t>小企业的比例）</w:t>
            </w:r>
          </w:p>
        </w:tc>
        <w:tc>
          <w:tcPr>
            <w:tcW w:w="2296" w:type="dxa"/>
            <w:tcBorders>
              <w:top w:val="nil"/>
            </w:tcBorders>
            <w:noWrap w:val="0"/>
            <w:vAlign w:val="center"/>
          </w:tcPr>
          <w:p>
            <w:pPr>
              <w:pStyle w:val="40"/>
              <w:jc w:val="center"/>
              <w:rPr>
                <w:sz w:val="24"/>
                <w:szCs w:val="24"/>
              </w:rPr>
            </w:pPr>
          </w:p>
        </w:tc>
        <w:tc>
          <w:tcPr>
            <w:tcW w:w="1784" w:type="dxa"/>
            <w:vMerge w:val="continue"/>
            <w:tcBorders>
              <w:top w:val="nil"/>
            </w:tcBorders>
            <w:noWrap w:val="0"/>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40"/>
              <w:jc w:val="center"/>
              <w:rPr>
                <w:sz w:val="24"/>
                <w:szCs w:val="24"/>
              </w:rPr>
            </w:pPr>
            <w:r>
              <w:rPr>
                <w:rFonts w:hint="eastAsia"/>
                <w:sz w:val="24"/>
                <w:szCs w:val="24"/>
              </w:rPr>
              <w:t>……</w:t>
            </w:r>
          </w:p>
        </w:tc>
        <w:tc>
          <w:tcPr>
            <w:tcW w:w="1866" w:type="dxa"/>
            <w:noWrap w:val="0"/>
            <w:vAlign w:val="center"/>
          </w:tcPr>
          <w:p>
            <w:pPr>
              <w:pStyle w:val="40"/>
              <w:jc w:val="center"/>
              <w:rPr>
                <w:sz w:val="24"/>
                <w:szCs w:val="24"/>
              </w:rPr>
            </w:pPr>
            <w:r>
              <w:rPr>
                <w:rFonts w:hint="eastAsia"/>
                <w:sz w:val="24"/>
                <w:szCs w:val="24"/>
              </w:rPr>
              <w:t>……</w:t>
            </w:r>
          </w:p>
        </w:tc>
        <w:tc>
          <w:tcPr>
            <w:tcW w:w="2010" w:type="dxa"/>
            <w:noWrap w:val="0"/>
            <w:vAlign w:val="center"/>
          </w:tcPr>
          <w:p>
            <w:pPr>
              <w:pStyle w:val="40"/>
              <w:jc w:val="center"/>
              <w:rPr>
                <w:sz w:val="24"/>
                <w:szCs w:val="24"/>
              </w:rPr>
            </w:pPr>
            <w:r>
              <w:rPr>
                <w:rFonts w:hint="eastAsia"/>
                <w:sz w:val="24"/>
                <w:szCs w:val="24"/>
              </w:rPr>
              <w:t>……</w:t>
            </w:r>
          </w:p>
        </w:tc>
        <w:tc>
          <w:tcPr>
            <w:tcW w:w="2296" w:type="dxa"/>
            <w:noWrap w:val="0"/>
            <w:vAlign w:val="center"/>
          </w:tcPr>
          <w:p>
            <w:pPr>
              <w:pStyle w:val="40"/>
              <w:jc w:val="center"/>
              <w:rPr>
                <w:sz w:val="24"/>
                <w:szCs w:val="24"/>
              </w:rPr>
            </w:pPr>
            <w:r>
              <w:rPr>
                <w:rFonts w:hint="eastAsia"/>
                <w:sz w:val="24"/>
                <w:szCs w:val="24"/>
              </w:rPr>
              <w:t>……</w:t>
            </w:r>
          </w:p>
        </w:tc>
        <w:tc>
          <w:tcPr>
            <w:tcW w:w="1784" w:type="dxa"/>
            <w:noWrap w:val="0"/>
            <w:vAlign w:val="center"/>
          </w:tcPr>
          <w:p>
            <w:pPr>
              <w:pStyle w:val="40"/>
              <w:jc w:val="center"/>
              <w:rPr>
                <w:sz w:val="24"/>
                <w:szCs w:val="24"/>
              </w:rPr>
            </w:pPr>
            <w:r>
              <w:rPr>
                <w:rFonts w:hint="eastAsia"/>
                <w:sz w:val="24"/>
                <w:szCs w:val="24"/>
              </w:rPr>
              <w:t>……</w:t>
            </w:r>
          </w:p>
        </w:tc>
      </w:tr>
    </w:tbl>
    <w:p>
      <w:pPr>
        <w:pStyle w:val="9"/>
        <w:tabs>
          <w:tab w:val="left" w:pos="562"/>
          <w:tab w:val="left" w:pos="3372"/>
          <w:tab w:val="left" w:pos="3653"/>
        </w:tabs>
        <w:spacing w:before="128"/>
        <w:ind w:left="4220" w:right="1843"/>
        <w:rPr>
          <w:rFonts w:ascii="宋体" w:hAnsi="宋体" w:cs="宋体"/>
        </w:rPr>
      </w:pPr>
      <w:r>
        <w:rPr>
          <w:rFonts w:hint="eastAsia" w:ascii="宋体" w:hAnsi="宋体" w:cs="宋体"/>
        </w:rPr>
        <w:t>部门（单位）名称： 日期：</w:t>
      </w:r>
    </w:p>
    <w:p>
      <w:pPr>
        <w:pStyle w:val="9"/>
        <w:tabs>
          <w:tab w:val="left" w:pos="562"/>
          <w:tab w:val="left" w:pos="3372"/>
          <w:tab w:val="left" w:pos="3653"/>
        </w:tabs>
        <w:rPr>
          <w:rFonts w:ascii="宋体" w:hAnsi="宋体" w:cs="宋体"/>
        </w:rPr>
      </w:pPr>
    </w:p>
    <w:p>
      <w:pPr>
        <w:pStyle w:val="19"/>
        <w:jc w:val="both"/>
        <w:outlineLvl w:val="9"/>
        <w:rPr>
          <w:rFonts w:ascii="宋体" w:hAnsi="宋体" w:eastAsia="宋体" w:cs="宋体"/>
          <w:sz w:val="24"/>
          <w:szCs w:val="24"/>
        </w:rPr>
      </w:pPr>
    </w:p>
    <w:p>
      <w:pPr>
        <w:tabs>
          <w:tab w:val="left" w:pos="360"/>
        </w:tabs>
        <w:outlineLvl w:val="1"/>
        <w:rPr>
          <w:rFonts w:ascii="宋体" w:hAnsi="宋体" w:cs="宋体"/>
          <w:b/>
          <w:bCs/>
          <w:sz w:val="24"/>
        </w:rPr>
      </w:pPr>
      <w:r>
        <w:rPr>
          <w:rFonts w:hint="eastAsia" w:ascii="宋体" w:hAnsi="宋体" w:cs="宋体"/>
          <w:sz w:val="24"/>
        </w:rPr>
        <w:br w:type="page"/>
      </w:r>
      <w:r>
        <w:rPr>
          <w:rFonts w:hint="eastAsia" w:ascii="宋体" w:hAnsi="宋体" w:cs="宋体"/>
          <w:b/>
          <w:bCs/>
          <w:sz w:val="24"/>
        </w:rPr>
        <w:t>2、工业和信息化部、国家统计局、国家发展和改革委员会、财政部《关于印发〈中小企业划型标准规定〉的通知》（工信部联企〔2011〕300 号）</w:t>
      </w:r>
    </w:p>
    <w:p>
      <w:pPr>
        <w:pStyle w:val="9"/>
        <w:tabs>
          <w:tab w:val="left" w:pos="562"/>
          <w:tab w:val="left" w:pos="3372"/>
          <w:tab w:val="left" w:pos="3653"/>
        </w:tabs>
        <w:rPr>
          <w:rFonts w:ascii="宋体" w:hAnsi="宋体" w:cs="宋体"/>
        </w:rPr>
      </w:pPr>
    </w:p>
    <w:p>
      <w:pPr>
        <w:jc w:val="center"/>
        <w:rPr>
          <w:rFonts w:ascii="宋体" w:hAnsi="宋体" w:cs="宋体"/>
          <w:b/>
          <w:bCs/>
          <w:sz w:val="24"/>
        </w:rPr>
      </w:pPr>
      <w:r>
        <w:rPr>
          <w:rFonts w:hint="eastAsia" w:ascii="宋体" w:hAnsi="宋体" w:cs="宋体"/>
          <w:b/>
          <w:bCs/>
          <w:sz w:val="24"/>
        </w:rPr>
        <w:t>关于印发中小企业划型标准规定的通知</w:t>
      </w:r>
    </w:p>
    <w:p>
      <w:pPr>
        <w:jc w:val="center"/>
        <w:rPr>
          <w:rFonts w:ascii="宋体" w:hAnsi="宋体" w:cs="宋体"/>
          <w:sz w:val="24"/>
        </w:rPr>
      </w:pPr>
      <w:r>
        <w:rPr>
          <w:rFonts w:hint="eastAsia" w:ascii="宋体" w:hAnsi="宋体" w:cs="宋体"/>
          <w:sz w:val="24"/>
        </w:rPr>
        <w:t>工信部联企业〔2011〕300号</w:t>
      </w:r>
    </w:p>
    <w:p>
      <w:pPr>
        <w:ind w:firstLine="480" w:firstLineChars="200"/>
        <w:rPr>
          <w:rFonts w:ascii="宋体" w:hAnsi="宋体" w:cs="宋体"/>
          <w:sz w:val="24"/>
        </w:rPr>
      </w:pPr>
      <w:r>
        <w:rPr>
          <w:rFonts w:hint="eastAsia" w:ascii="宋体" w:hAnsi="宋体" w:cs="宋体"/>
          <w:sz w:val="24"/>
        </w:rPr>
        <w:t xml:space="preserve">各省、自治区、直辖市人民政府，国务院各部委、各直属机构及有关单位： </w:t>
      </w:r>
    </w:p>
    <w:p>
      <w:pPr>
        <w:ind w:firstLine="480" w:firstLineChars="200"/>
        <w:rPr>
          <w:rFonts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ascii="宋体" w:hAnsi="宋体" w:cs="宋体"/>
          <w:sz w:val="24"/>
        </w:rPr>
      </w:pPr>
      <w:r>
        <w:rPr>
          <w:rFonts w:hint="eastAsia" w:ascii="宋体" w:hAnsi="宋体" w:cs="宋体"/>
          <w:sz w:val="24"/>
        </w:rPr>
        <w:t>工业和信息化部 国家统计局</w:t>
      </w:r>
    </w:p>
    <w:p>
      <w:pPr>
        <w:ind w:firstLine="480" w:firstLineChars="200"/>
        <w:jc w:val="right"/>
        <w:rPr>
          <w:rFonts w:ascii="宋体" w:hAnsi="宋体" w:cs="宋体"/>
          <w:sz w:val="24"/>
        </w:rPr>
      </w:pPr>
      <w:r>
        <w:rPr>
          <w:rFonts w:hint="eastAsia" w:ascii="宋体" w:hAnsi="宋体" w:cs="宋体"/>
          <w:sz w:val="24"/>
        </w:rPr>
        <w:t>国家发展和改革委员会 财政部</w:t>
      </w:r>
    </w:p>
    <w:p>
      <w:pPr>
        <w:ind w:firstLine="480" w:firstLineChars="200"/>
        <w:jc w:val="right"/>
        <w:rPr>
          <w:rFonts w:ascii="宋体" w:hAnsi="宋体" w:cs="宋体"/>
          <w:sz w:val="24"/>
        </w:rPr>
      </w:pPr>
      <w:r>
        <w:rPr>
          <w:rFonts w:hint="eastAsia" w:ascii="宋体" w:hAnsi="宋体" w:cs="宋体"/>
          <w:sz w:val="24"/>
        </w:rPr>
        <w:t>二○一一年六月十八日</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pStyle w:val="3"/>
        <w:rPr>
          <w:rFonts w:ascii="宋体" w:hAnsi="宋体" w:cs="宋体"/>
          <w:sz w:val="24"/>
        </w:rPr>
      </w:pPr>
    </w:p>
    <w:p>
      <w:pPr>
        <w:rPr>
          <w:rFonts w:ascii="宋体" w:hAnsi="宋体" w:cs="宋体"/>
          <w:sz w:val="24"/>
        </w:rPr>
      </w:pPr>
    </w:p>
    <w:p>
      <w:pPr>
        <w:pStyle w:val="3"/>
        <w:rPr>
          <w:rFonts w:ascii="宋体" w:hAnsi="宋体" w:cs="宋体"/>
          <w:sz w:val="24"/>
        </w:rPr>
      </w:pPr>
    </w:p>
    <w:p>
      <w:pPr>
        <w:rPr>
          <w:rFonts w:ascii="宋体" w:hAnsi="宋体" w:cs="宋体"/>
          <w:sz w:val="24"/>
        </w:rPr>
      </w:pPr>
    </w:p>
    <w:p>
      <w:pPr>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中小企业划型标准规定 </w:t>
      </w:r>
    </w:p>
    <w:p>
      <w:pPr>
        <w:ind w:firstLine="480" w:firstLineChars="200"/>
        <w:rPr>
          <w:rFonts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ind w:firstLine="480" w:firstLineChars="200"/>
        <w:rPr>
          <w:rFonts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ind w:firstLine="480" w:firstLineChars="200"/>
        <w:rPr>
          <w:rFonts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ascii="宋体" w:hAnsi="宋体" w:cs="宋体"/>
          <w:sz w:val="24"/>
        </w:rPr>
      </w:pPr>
      <w:r>
        <w:rPr>
          <w:rFonts w:hint="eastAsia" w:ascii="宋体" w:hAnsi="宋体" w:cs="宋体"/>
          <w:sz w:val="24"/>
        </w:rPr>
        <w:t xml:space="preserve">四、各行业划型标准为： </w:t>
      </w:r>
    </w:p>
    <w:p>
      <w:pPr>
        <w:ind w:firstLine="480" w:firstLineChars="200"/>
        <w:rPr>
          <w:rFonts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ascii="宋体" w:hAnsi="宋体" w:cs="宋体"/>
          <w:sz w:val="24"/>
        </w:rPr>
      </w:pPr>
      <w:r>
        <w:rPr>
          <w:rFonts w:hint="eastAsia" w:ascii="宋体" w:hAnsi="宋体" w:cs="宋体"/>
          <w:sz w:val="24"/>
        </w:rPr>
        <w:t xml:space="preserve">五、企业类型的划分以统计部门的统计数据为依据。 </w:t>
      </w:r>
    </w:p>
    <w:p>
      <w:pPr>
        <w:ind w:firstLine="480" w:firstLineChars="200"/>
        <w:rPr>
          <w:rFonts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ind w:firstLine="480" w:firstLineChars="200"/>
        <w:rPr>
          <w:rFonts w:ascii="宋体" w:hAnsi="宋体" w:cs="宋体"/>
          <w:sz w:val="24"/>
        </w:rPr>
      </w:pPr>
      <w:r>
        <w:rPr>
          <w:rFonts w:hint="eastAsia" w:ascii="宋体" w:hAnsi="宋体" w:cs="宋体"/>
          <w:sz w:val="24"/>
        </w:rPr>
        <w:t xml:space="preserve">九、本规定由工业和信息化部、国家统计局会同有关部门负责解释。 </w:t>
      </w:r>
    </w:p>
    <w:p>
      <w:pPr>
        <w:ind w:firstLine="480" w:firstLineChars="200"/>
        <w:rPr>
          <w:rFonts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pStyle w:val="19"/>
        <w:jc w:val="both"/>
        <w:outlineLvl w:val="9"/>
        <w:rPr>
          <w:rFonts w:ascii="宋体" w:hAnsi="宋体" w:eastAsia="宋体" w:cs="宋体"/>
          <w:sz w:val="24"/>
          <w:szCs w:val="24"/>
        </w:rPr>
      </w:pPr>
    </w:p>
    <w:p>
      <w:pPr>
        <w:tabs>
          <w:tab w:val="left" w:pos="360"/>
        </w:tabs>
        <w:outlineLvl w:val="1"/>
        <w:rPr>
          <w:rFonts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jc w:val="center"/>
        <w:rPr>
          <w:rFonts w:ascii="宋体" w:hAnsi="宋体" w:cs="宋体"/>
          <w:b/>
          <w:bCs/>
          <w:kern w:val="0"/>
          <w:sz w:val="24"/>
        </w:rPr>
      </w:pPr>
    </w:p>
    <w:p>
      <w:pPr>
        <w:widowControl/>
        <w:shd w:val="clear" w:color="auto" w:fill="FFFFFF"/>
        <w:jc w:val="center"/>
        <w:rPr>
          <w:rFonts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hint="eastAsia" w:ascii="宋体" w:hAnsi="宋体" w:cs="宋体"/>
          <w:kern w:val="0"/>
          <w:sz w:val="24"/>
        </w:rPr>
      </w:pPr>
    </w:p>
    <w:p>
      <w:pPr>
        <w:widowControl/>
        <w:shd w:val="clear" w:color="auto" w:fill="FFFFFF"/>
        <w:ind w:firstLine="480" w:firstLineChars="200"/>
        <w:jc w:val="left"/>
        <w:rPr>
          <w:rFonts w:hint="eastAsia" w:ascii="宋体" w:hAnsi="宋体" w:cs="宋体"/>
          <w:kern w:val="0"/>
          <w:sz w:val="24"/>
        </w:rPr>
      </w:pPr>
    </w:p>
    <w:p>
      <w:pPr>
        <w:widowControl/>
        <w:shd w:val="clear" w:color="auto" w:fill="FFFFFF"/>
        <w:ind w:firstLine="480" w:firstLineChars="200"/>
        <w:jc w:val="left"/>
        <w:rPr>
          <w:rFonts w:hint="eastAsia" w:ascii="宋体" w:hAnsi="宋体" w:cs="宋体"/>
          <w:kern w:val="0"/>
          <w:sz w:val="24"/>
        </w:rPr>
      </w:pPr>
    </w:p>
    <w:p>
      <w:pPr>
        <w:widowControl/>
        <w:shd w:val="clear" w:color="auto" w:fill="FFFFFF"/>
        <w:ind w:firstLine="480" w:firstLineChars="200"/>
        <w:jc w:val="left"/>
        <w:rPr>
          <w:rFonts w:hint="eastAsia" w:ascii="宋体" w:hAnsi="宋体" w:cs="宋体"/>
          <w:kern w:val="0"/>
          <w:sz w:val="24"/>
        </w:rPr>
      </w:pPr>
    </w:p>
    <w:p>
      <w:pPr>
        <w:widowControl/>
        <w:shd w:val="clear" w:color="auto" w:fill="FFFFFF"/>
        <w:ind w:firstLine="480" w:firstLineChars="200"/>
        <w:jc w:val="left"/>
        <w:rPr>
          <w:rFonts w:hint="eastAsia" w:ascii="宋体" w:hAnsi="宋体" w:cs="宋体"/>
          <w:kern w:val="0"/>
          <w:sz w:val="24"/>
        </w:rPr>
      </w:pPr>
    </w:p>
    <w:p>
      <w:pPr>
        <w:widowControl/>
        <w:shd w:val="clear" w:color="auto" w:fill="FFFFFF"/>
        <w:ind w:firstLine="480" w:firstLineChars="200"/>
        <w:jc w:val="left"/>
        <w:rPr>
          <w:rFonts w:hint="eastAsia" w:ascii="宋体" w:hAnsi="宋体" w:cs="宋体"/>
          <w:kern w:val="0"/>
          <w:sz w:val="24"/>
        </w:rPr>
      </w:pPr>
    </w:p>
    <w:p>
      <w:pPr>
        <w:widowControl/>
        <w:shd w:val="clear" w:color="auto" w:fill="FFFFFF"/>
        <w:ind w:firstLine="480" w:firstLineChars="200"/>
        <w:jc w:val="left"/>
        <w:rPr>
          <w:rFonts w:hint="eastAsia" w:ascii="宋体" w:hAnsi="宋体" w:cs="宋体"/>
          <w:kern w:val="0"/>
          <w:sz w:val="24"/>
        </w:rPr>
      </w:pPr>
    </w:p>
    <w:p>
      <w:pPr>
        <w:widowControl/>
        <w:shd w:val="clear" w:color="auto" w:fill="FFFFFF"/>
        <w:ind w:firstLine="480" w:firstLineChars="200"/>
        <w:jc w:val="left"/>
        <w:rPr>
          <w:rFonts w:hint="eastAsia" w:ascii="宋体" w:hAnsi="宋体" w:cs="宋体"/>
          <w:kern w:val="0"/>
          <w:sz w:val="24"/>
        </w:rPr>
      </w:pP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right"/>
        <w:rPr>
          <w:rFonts w:ascii="宋体" w:hAnsi="宋体" w:cs="宋体"/>
          <w:kern w:val="0"/>
          <w:sz w:val="24"/>
        </w:rPr>
      </w:pPr>
      <w:r>
        <w:rPr>
          <w:rFonts w:hint="eastAsia" w:ascii="宋体" w:hAnsi="宋体" w:cs="宋体"/>
          <w:kern w:val="0"/>
          <w:sz w:val="24"/>
        </w:rPr>
        <w:t>国家统计局</w:t>
      </w:r>
    </w:p>
    <w:p>
      <w:pPr>
        <w:widowControl/>
        <w:shd w:val="clear" w:color="auto" w:fill="FFFFFF"/>
        <w:ind w:firstLine="480" w:firstLineChars="200"/>
        <w:jc w:val="right"/>
        <w:rPr>
          <w:rFonts w:ascii="宋体" w:hAnsi="宋体" w:cs="宋体"/>
          <w:kern w:val="0"/>
          <w:sz w:val="24"/>
        </w:rPr>
      </w:pPr>
      <w:r>
        <w:rPr>
          <w:rFonts w:hint="eastAsia" w:ascii="宋体" w:hAnsi="宋体" w:cs="宋体"/>
          <w:kern w:val="0"/>
          <w:sz w:val="24"/>
        </w:rPr>
        <w:t>2017年12月28日</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jc w:val="center"/>
        <w:rPr>
          <w:rFonts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附表：统计上大中小微型企业划分标准</w:t>
      </w:r>
    </w:p>
    <w:p>
      <w:pPr>
        <w:widowControl/>
        <w:jc w:val="left"/>
        <w:rPr>
          <w:rFonts w:ascii="宋体" w:hAnsi="宋体" w:cs="宋体"/>
          <w:kern w:val="0"/>
          <w:sz w:val="24"/>
        </w:rPr>
      </w:pPr>
    </w:p>
    <w:p>
      <w:pPr>
        <w:widowControl/>
        <w:jc w:val="left"/>
        <w:rPr>
          <w:rFonts w:ascii="宋体" w:hAnsi="宋体" w:cs="宋体"/>
          <w:kern w:val="0"/>
          <w:sz w:val="24"/>
        </w:rPr>
      </w:pPr>
      <w:r>
        <w:rPr>
          <w:rFonts w:hint="eastAsia" w:ascii="宋体" w:hAnsi="宋体" w:cs="宋体"/>
          <w:kern w:val="0"/>
          <w:sz w:val="24"/>
        </w:rPr>
        <w:t>附表：</w:t>
      </w:r>
    </w:p>
    <w:p>
      <w:pPr>
        <w:widowControl/>
        <w:jc w:val="center"/>
        <w:rPr>
          <w:rFonts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kern w:val="0"/>
                <w:sz w:val="24"/>
              </w:rPr>
            </w:pPr>
            <w:r>
              <w:rPr>
                <w:rFonts w:hint="eastAsia" w:ascii="宋体" w:hAnsi="宋体" w:cs="宋体"/>
                <w:b/>
                <w:bCs/>
                <w:kern w:val="0"/>
                <w:sz w:val="24"/>
              </w:rPr>
              <w:t>行业名称</w:t>
            </w:r>
          </w:p>
        </w:tc>
        <w:tc>
          <w:tcPr>
            <w:tcW w:w="1462" w:type="dxa"/>
            <w:noWrap w:val="0"/>
            <w:vAlign w:val="center"/>
          </w:tcPr>
          <w:p>
            <w:pPr>
              <w:widowControl/>
              <w:jc w:val="center"/>
              <w:rPr>
                <w:rFonts w:ascii="宋体" w:hAnsi="宋体" w:cs="宋体"/>
                <w:kern w:val="0"/>
                <w:sz w:val="24"/>
              </w:rPr>
            </w:pPr>
            <w:r>
              <w:rPr>
                <w:rFonts w:hint="eastAsia" w:ascii="宋体" w:hAnsi="宋体" w:cs="宋体"/>
                <w:b/>
                <w:bCs/>
                <w:kern w:val="0"/>
                <w:sz w:val="24"/>
              </w:rPr>
              <w:t>指标名称</w:t>
            </w:r>
          </w:p>
        </w:tc>
        <w:tc>
          <w:tcPr>
            <w:tcW w:w="727" w:type="dxa"/>
            <w:noWrap w:val="0"/>
            <w:vAlign w:val="center"/>
          </w:tcPr>
          <w:p>
            <w:pPr>
              <w:widowControl/>
              <w:jc w:val="center"/>
              <w:rPr>
                <w:rFonts w:ascii="宋体" w:hAnsi="宋体" w:cs="宋体"/>
                <w:b/>
                <w:bCs/>
                <w:kern w:val="0"/>
                <w:sz w:val="24"/>
              </w:rPr>
            </w:pPr>
            <w:r>
              <w:rPr>
                <w:rFonts w:hint="eastAsia" w:ascii="宋体" w:hAnsi="宋体" w:cs="宋体"/>
                <w:b/>
                <w:bCs/>
                <w:kern w:val="0"/>
                <w:sz w:val="24"/>
              </w:rPr>
              <w:t>计量</w:t>
            </w:r>
          </w:p>
          <w:p>
            <w:pPr>
              <w:widowControl/>
              <w:jc w:val="center"/>
              <w:rPr>
                <w:rFonts w:ascii="宋体" w:hAnsi="宋体" w:cs="宋体"/>
                <w:kern w:val="0"/>
                <w:sz w:val="24"/>
              </w:rPr>
            </w:pPr>
            <w:r>
              <w:rPr>
                <w:rFonts w:hint="eastAsia" w:ascii="宋体" w:hAnsi="宋体" w:cs="宋体"/>
                <w:b/>
                <w:bCs/>
                <w:kern w:val="0"/>
                <w:sz w:val="24"/>
              </w:rPr>
              <w:t>单位</w:t>
            </w:r>
          </w:p>
        </w:tc>
        <w:tc>
          <w:tcPr>
            <w:tcW w:w="1011" w:type="dxa"/>
            <w:noWrap w:val="0"/>
            <w:vAlign w:val="center"/>
          </w:tcPr>
          <w:p>
            <w:pPr>
              <w:widowControl/>
              <w:jc w:val="center"/>
              <w:rPr>
                <w:rFonts w:ascii="宋体" w:hAnsi="宋体" w:cs="宋体"/>
                <w:kern w:val="0"/>
                <w:sz w:val="24"/>
              </w:rPr>
            </w:pPr>
            <w:r>
              <w:rPr>
                <w:rFonts w:hint="eastAsia" w:ascii="宋体" w:hAnsi="宋体" w:cs="宋体"/>
                <w:b/>
                <w:bCs/>
                <w:kern w:val="0"/>
                <w:sz w:val="24"/>
              </w:rPr>
              <w:t>大型</w:t>
            </w:r>
          </w:p>
        </w:tc>
        <w:tc>
          <w:tcPr>
            <w:tcW w:w="1664" w:type="dxa"/>
            <w:noWrap w:val="0"/>
            <w:vAlign w:val="center"/>
          </w:tcPr>
          <w:p>
            <w:pPr>
              <w:widowControl/>
              <w:jc w:val="center"/>
              <w:rPr>
                <w:rFonts w:ascii="宋体" w:hAnsi="宋体" w:cs="宋体"/>
                <w:kern w:val="0"/>
                <w:sz w:val="24"/>
              </w:rPr>
            </w:pPr>
            <w:r>
              <w:rPr>
                <w:rFonts w:hint="eastAsia" w:ascii="宋体" w:hAnsi="宋体" w:cs="宋体"/>
                <w:b/>
                <w:bCs/>
                <w:kern w:val="0"/>
                <w:sz w:val="24"/>
              </w:rPr>
              <w:t>中型</w:t>
            </w:r>
          </w:p>
        </w:tc>
        <w:tc>
          <w:tcPr>
            <w:tcW w:w="1446" w:type="dxa"/>
            <w:noWrap w:val="0"/>
            <w:vAlign w:val="center"/>
          </w:tcPr>
          <w:p>
            <w:pPr>
              <w:widowControl/>
              <w:jc w:val="center"/>
              <w:rPr>
                <w:rFonts w:ascii="宋体" w:hAnsi="宋体" w:cs="宋体"/>
                <w:kern w:val="0"/>
                <w:sz w:val="24"/>
              </w:rPr>
            </w:pPr>
            <w:r>
              <w:rPr>
                <w:rFonts w:hint="eastAsia" w:ascii="宋体" w:hAnsi="宋体" w:cs="宋体"/>
                <w:b/>
                <w:bCs/>
                <w:kern w:val="0"/>
                <w:sz w:val="24"/>
              </w:rPr>
              <w:t>小型</w:t>
            </w:r>
          </w:p>
        </w:tc>
        <w:tc>
          <w:tcPr>
            <w:tcW w:w="793" w:type="dxa"/>
            <w:noWrap w:val="0"/>
            <w:vAlign w:val="center"/>
          </w:tcPr>
          <w:p>
            <w:pPr>
              <w:widowControl/>
              <w:jc w:val="center"/>
              <w:rPr>
                <w:rFonts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kern w:val="0"/>
                <w:sz w:val="24"/>
              </w:rPr>
            </w:pPr>
            <w:r>
              <w:rPr>
                <w:rFonts w:hint="eastAsia" w:ascii="宋体" w:hAnsi="宋体" w:cs="宋体"/>
                <w:kern w:val="0"/>
                <w:sz w:val="24"/>
              </w:rPr>
              <w:t>农、林、牧、渔业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Y≥20000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500≤Y＜20000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50≤Y＜500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工业 *</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Y≥40000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2000≤Y＜40000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300≤Y＜2000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建筑业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Y≥80000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6000≤Y＜80000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300≤Y＜6000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Z≥80000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5000≤Z＜80000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300≤Z＜5000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批发业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X≥200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20≤X＜200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5≤X＜20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Y≥40000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5000≤Y＜40000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1000≤Y＜5000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零售业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50≤X＜300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10≤X＜50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Y≥20000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500≤Y＜20000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100≤Y＜500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交通运输业 *</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3000≤Y＜30000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200≤Y＜3000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仓储业*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X≥200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100≤X＜200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20≤X＜100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1000≤Y＜30000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邮政业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20≤X＜300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Y≥30000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2000≤Y＜30000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住宿业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2000≤Y＜10000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餐饮业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2000≤Y＜10000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100≤Y＜2000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信息传输业 *</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X≥2000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100≤X＜2000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Y≥100000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1000≤Y＜100000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软件和信息技术服务业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Y≥10000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1000≤Y＜10000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50≤Y＜1000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房地产开发经营</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Y≥200000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1000≤Y＜200000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100≤Y＜1000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Z≥10000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5000≤Z＜10000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2000≤Z＜5000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物业管理</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X≥1000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300≤X＜1000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100≤X＜300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营业收入(Y)</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Y≥5000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1000≤Y＜5000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500≤Y＜1000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租赁和商务服务业</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kern w:val="0"/>
                <w:sz w:val="24"/>
              </w:rPr>
            </w:pP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资产总额(Z)</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万元</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Z≥120000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8000≤Z＜120000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100≤Z＜8000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kern w:val="0"/>
                <w:sz w:val="24"/>
              </w:rPr>
            </w:pPr>
            <w:r>
              <w:rPr>
                <w:rFonts w:hint="eastAsia" w:ascii="宋体" w:hAnsi="宋体" w:cs="宋体"/>
                <w:kern w:val="0"/>
                <w:sz w:val="24"/>
              </w:rPr>
              <w:t>其他未列明行业 *</w:t>
            </w:r>
          </w:p>
        </w:tc>
        <w:tc>
          <w:tcPr>
            <w:tcW w:w="1462" w:type="dxa"/>
            <w:noWrap w:val="0"/>
            <w:vAlign w:val="center"/>
          </w:tcPr>
          <w:p>
            <w:pPr>
              <w:widowControl/>
              <w:jc w:val="center"/>
              <w:rPr>
                <w:rFonts w:ascii="宋体" w:hAnsi="宋体" w:cs="宋体"/>
                <w:kern w:val="0"/>
                <w:sz w:val="24"/>
              </w:rPr>
            </w:pPr>
            <w:r>
              <w:rPr>
                <w:rFonts w:hint="eastAsia" w:ascii="宋体" w:hAnsi="宋体" w:cs="宋体"/>
                <w:kern w:val="0"/>
                <w:sz w:val="24"/>
              </w:rPr>
              <w:t>从业人员(X)</w:t>
            </w:r>
          </w:p>
        </w:tc>
        <w:tc>
          <w:tcPr>
            <w:tcW w:w="727" w:type="dxa"/>
            <w:noWrap w:val="0"/>
            <w:vAlign w:val="center"/>
          </w:tcPr>
          <w:p>
            <w:pPr>
              <w:widowControl/>
              <w:jc w:val="center"/>
              <w:rPr>
                <w:rFonts w:ascii="宋体" w:hAnsi="宋体" w:cs="宋体"/>
                <w:kern w:val="0"/>
                <w:sz w:val="24"/>
              </w:rPr>
            </w:pPr>
            <w:r>
              <w:rPr>
                <w:rFonts w:hint="eastAsia" w:ascii="宋体" w:hAnsi="宋体" w:cs="宋体"/>
                <w:kern w:val="0"/>
                <w:sz w:val="24"/>
              </w:rPr>
              <w:t>人</w:t>
            </w:r>
          </w:p>
        </w:tc>
        <w:tc>
          <w:tcPr>
            <w:tcW w:w="1011" w:type="dxa"/>
            <w:noWrap w:val="0"/>
            <w:vAlign w:val="center"/>
          </w:tcPr>
          <w:p>
            <w:pPr>
              <w:widowControl/>
              <w:jc w:val="center"/>
              <w:rPr>
                <w:rFonts w:ascii="宋体" w:hAnsi="宋体" w:cs="宋体"/>
                <w:kern w:val="0"/>
                <w:sz w:val="24"/>
              </w:rPr>
            </w:pPr>
            <w:r>
              <w:rPr>
                <w:rFonts w:hint="eastAsia" w:ascii="宋体" w:hAnsi="宋体" w:cs="宋体"/>
                <w:kern w:val="0"/>
                <w:sz w:val="24"/>
              </w:rPr>
              <w:t>X≥300</w:t>
            </w:r>
          </w:p>
        </w:tc>
        <w:tc>
          <w:tcPr>
            <w:tcW w:w="1664" w:type="dxa"/>
            <w:noWrap w:val="0"/>
            <w:vAlign w:val="center"/>
          </w:tcPr>
          <w:p>
            <w:pPr>
              <w:widowControl/>
              <w:jc w:val="center"/>
              <w:rPr>
                <w:rFonts w:ascii="宋体" w:hAnsi="宋体" w:cs="宋体"/>
                <w:kern w:val="0"/>
                <w:sz w:val="24"/>
              </w:rPr>
            </w:pPr>
            <w:r>
              <w:rPr>
                <w:rFonts w:hint="eastAsia" w:ascii="宋体" w:hAnsi="宋体" w:cs="宋体"/>
                <w:kern w:val="0"/>
                <w:sz w:val="24"/>
              </w:rPr>
              <w:t>100≤X＜300</w:t>
            </w:r>
          </w:p>
        </w:tc>
        <w:tc>
          <w:tcPr>
            <w:tcW w:w="1446" w:type="dxa"/>
            <w:noWrap w:val="0"/>
            <w:vAlign w:val="center"/>
          </w:tcPr>
          <w:p>
            <w:pPr>
              <w:widowControl/>
              <w:jc w:val="center"/>
              <w:rPr>
                <w:rFonts w:ascii="宋体" w:hAnsi="宋体" w:cs="宋体"/>
                <w:kern w:val="0"/>
                <w:sz w:val="24"/>
              </w:rPr>
            </w:pPr>
            <w:r>
              <w:rPr>
                <w:rFonts w:hint="eastAsia" w:ascii="宋体" w:hAnsi="宋体" w:cs="宋体"/>
                <w:kern w:val="0"/>
                <w:sz w:val="24"/>
              </w:rPr>
              <w:t>10≤X＜100</w:t>
            </w:r>
          </w:p>
        </w:tc>
        <w:tc>
          <w:tcPr>
            <w:tcW w:w="793" w:type="dxa"/>
            <w:noWrap w:val="0"/>
            <w:vAlign w:val="center"/>
          </w:tcPr>
          <w:p>
            <w:pPr>
              <w:widowControl/>
              <w:jc w:val="center"/>
              <w:rPr>
                <w:rFonts w:ascii="宋体" w:hAnsi="宋体" w:cs="宋体"/>
                <w:kern w:val="0"/>
                <w:sz w:val="24"/>
              </w:rPr>
            </w:pPr>
            <w:r>
              <w:rPr>
                <w:rFonts w:hint="eastAsia" w:ascii="宋体" w:hAnsi="宋体" w:cs="宋体"/>
                <w:kern w:val="0"/>
                <w:sz w:val="24"/>
              </w:rPr>
              <w:t>X＜10</w:t>
            </w:r>
          </w:p>
        </w:tc>
      </w:tr>
    </w:tbl>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说明：</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rPr>
          <w:rFonts w:ascii="宋体" w:hAnsi="宋体" w:cs="宋体"/>
        </w:rPr>
      </w:pPr>
    </w:p>
    <w:p>
      <w:pPr>
        <w:pStyle w:val="19"/>
        <w:outlineLvl w:val="9"/>
        <w:rPr>
          <w:rFonts w:ascii="宋体" w:hAnsi="宋体" w:eastAsia="宋体" w:cs="宋体"/>
          <w:sz w:val="24"/>
          <w:szCs w:val="24"/>
        </w:rPr>
      </w:pPr>
    </w:p>
    <w:p>
      <w:pPr>
        <w:tabs>
          <w:tab w:val="left" w:pos="360"/>
        </w:tabs>
        <w:outlineLvl w:val="1"/>
        <w:rPr>
          <w:rFonts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rPr>
          <w:rFonts w:ascii="宋体" w:hAnsi="宋体" w:cs="宋体"/>
          <w:bCs/>
          <w:sz w:val="24"/>
        </w:rPr>
      </w:pPr>
    </w:p>
    <w:p>
      <w:pPr>
        <w:shd w:val="clear" w:color="auto" w:fill="FFFFFF"/>
        <w:rPr>
          <w:rFonts w:ascii="宋体" w:hAnsi="宋体" w:cs="宋体"/>
          <w:bCs/>
          <w:sz w:val="24"/>
        </w:rPr>
      </w:pPr>
      <w:r>
        <w:rPr>
          <w:rFonts w:hint="eastAsia" w:ascii="宋体" w:hAnsi="宋体" w:cs="宋体"/>
          <w:bCs/>
          <w:sz w:val="24"/>
        </w:rPr>
        <w:t>关于促进残疾人就业政府采购政策的通知</w:t>
      </w:r>
    </w:p>
    <w:p>
      <w:pPr>
        <w:pStyle w:val="18"/>
        <w:shd w:val="clear" w:color="auto" w:fill="FFFFFF"/>
        <w:spacing w:before="0" w:beforeAutospacing="0" w:after="0" w:afterAutospacing="0"/>
        <w:jc w:val="center"/>
      </w:pPr>
      <w:r>
        <w:rPr>
          <w:rFonts w:hint="eastAsia"/>
        </w:rPr>
        <w:t>　　</w:t>
      </w:r>
      <w:bookmarkStart w:id="48" w:name="sendNo"/>
      <w:r>
        <w:rPr>
          <w:rFonts w:hint="eastAsia"/>
        </w:rPr>
        <w:t>财库〔</w:t>
      </w:r>
      <w:bookmarkEnd w:id="48"/>
      <w:r>
        <w:rPr>
          <w:rFonts w:hint="eastAsia"/>
        </w:rPr>
        <w:t>2017〕141号</w:t>
      </w:r>
    </w:p>
    <w:p>
      <w:pPr>
        <w:pStyle w:val="18"/>
        <w:shd w:val="clear" w:color="auto" w:fill="FFFFFF"/>
        <w:spacing w:before="0" w:beforeAutospacing="0" w:after="0" w:afterAutospacing="0"/>
        <w:ind w:firstLine="480" w:firstLineChars="200"/>
      </w:pPr>
      <w:bookmarkStart w:id="49"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9"/>
      <w:r>
        <w:rPr>
          <w:rFonts w:hint="eastAsia"/>
        </w:rPr>
        <w:t>：</w:t>
      </w:r>
    </w:p>
    <w:p>
      <w:pPr>
        <w:pStyle w:val="18"/>
        <w:shd w:val="clear" w:color="auto" w:fill="FFFFFF"/>
        <w:spacing w:before="0" w:beforeAutospacing="0" w:after="0" w:afterAutospacing="0"/>
        <w:ind w:firstLine="480" w:firstLineChars="200"/>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8"/>
        <w:shd w:val="clear" w:color="auto" w:fill="FFFFFF"/>
        <w:spacing w:before="0" w:beforeAutospacing="0" w:after="0" w:afterAutospacing="0"/>
        <w:ind w:firstLine="480" w:firstLineChars="200"/>
      </w:pPr>
      <w:r>
        <w:rPr>
          <w:rFonts w:hint="eastAsia"/>
        </w:rPr>
        <w:t>一、享受政府采购支持政策的残疾人福利性单位应当同时满足以下条件：</w:t>
      </w:r>
    </w:p>
    <w:p>
      <w:pPr>
        <w:pStyle w:val="18"/>
        <w:shd w:val="clear" w:color="auto" w:fill="FFFFFF"/>
        <w:spacing w:before="0" w:beforeAutospacing="0" w:after="0" w:afterAutospacing="0"/>
        <w:ind w:firstLine="480" w:firstLineChars="200"/>
      </w:pPr>
      <w:r>
        <w:rPr>
          <w:rFonts w:hint="eastAsia"/>
        </w:rPr>
        <w:t>（一）安置的残疾人占本单位在职职工人数的比例不低于25%（含25%），并且安置的残疾人人数不少于10人（含10人）；</w:t>
      </w:r>
    </w:p>
    <w:p>
      <w:pPr>
        <w:pStyle w:val="18"/>
        <w:shd w:val="clear" w:color="auto" w:fill="FFFFFF"/>
        <w:spacing w:before="0" w:beforeAutospacing="0" w:after="0" w:afterAutospacing="0"/>
        <w:ind w:firstLine="480" w:firstLineChars="200"/>
      </w:pPr>
      <w:r>
        <w:rPr>
          <w:rFonts w:hint="eastAsia"/>
        </w:rPr>
        <w:t>（二）依法与安置的每位残疾人签订了一年以上（含一年）的劳动合同或服务协议；</w:t>
      </w:r>
    </w:p>
    <w:p>
      <w:pPr>
        <w:pStyle w:val="18"/>
        <w:shd w:val="clear" w:color="auto" w:fill="FFFFFF"/>
        <w:spacing w:before="0" w:beforeAutospacing="0" w:after="0" w:afterAutospacing="0"/>
        <w:ind w:firstLine="480" w:firstLineChars="200"/>
      </w:pPr>
      <w:r>
        <w:rPr>
          <w:rFonts w:hint="eastAsia"/>
        </w:rPr>
        <w:t>（三）为安置的每位残疾人按月足额缴纳了基本养老保险、基本医疗保险、失业保险、工伤保险和生育保险等社会保险费；</w:t>
      </w:r>
    </w:p>
    <w:p>
      <w:pPr>
        <w:pStyle w:val="18"/>
        <w:shd w:val="clear" w:color="auto" w:fill="FFFFFF"/>
        <w:spacing w:before="0" w:beforeAutospacing="0" w:after="0" w:afterAutospacing="0"/>
        <w:ind w:firstLine="480" w:firstLineChars="200"/>
      </w:pPr>
      <w:r>
        <w:rPr>
          <w:rFonts w:hint="eastAsia"/>
        </w:rPr>
        <w:t>（四）通过银行等金融机构向安置的每位残疾人，按月支付了不低于单位所在区县适用的经省级人民政府批准的月最低工资标准的工资；</w:t>
      </w:r>
    </w:p>
    <w:p>
      <w:pPr>
        <w:pStyle w:val="18"/>
        <w:shd w:val="clear" w:color="auto" w:fill="FFFFFF"/>
        <w:spacing w:before="0" w:beforeAutospacing="0" w:after="0" w:afterAutospacing="0"/>
        <w:ind w:firstLine="480" w:firstLineChars="200"/>
      </w:pPr>
      <w:r>
        <w:rPr>
          <w:rFonts w:hint="eastAsia"/>
        </w:rPr>
        <w:t>（五）提供本单位制造的货物、承担的工程或者服务（以下简称产品），或者提供其他残疾人福利性单位制造的货物（不包括使用非残疾人福利性单位注册商标的货物）。</w:t>
      </w:r>
    </w:p>
    <w:p>
      <w:pPr>
        <w:pStyle w:val="18"/>
        <w:shd w:val="clear" w:color="auto" w:fill="FFFFFF"/>
        <w:spacing w:before="0" w:beforeAutospacing="0" w:after="0" w:afterAutospacing="0"/>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8"/>
        <w:shd w:val="clear" w:color="auto" w:fill="FFFFFF"/>
        <w:spacing w:before="0" w:beforeAutospacing="0" w:after="0" w:afterAutospacing="0"/>
        <w:ind w:firstLine="480" w:firstLineChars="200"/>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8"/>
        <w:shd w:val="clear" w:color="auto" w:fill="FFFFFF"/>
        <w:spacing w:before="0" w:beforeAutospacing="0" w:after="0" w:afterAutospacing="0"/>
        <w:ind w:firstLine="480" w:firstLineChars="200"/>
      </w:pPr>
      <w:r>
        <w:rPr>
          <w:rFonts w:hint="eastAsia"/>
        </w:rPr>
        <w:t>中标、成交供应商为残疾人福利性单位的，采购人或者其委托的采购代理机构应当随中标、成交结果同时公告其《残疾人福利性单位声明函》，接受社会监督。</w:t>
      </w:r>
    </w:p>
    <w:p>
      <w:pPr>
        <w:pStyle w:val="18"/>
        <w:shd w:val="clear" w:color="auto" w:fill="FFFFFF"/>
        <w:spacing w:before="0" w:beforeAutospacing="0" w:after="0" w:afterAutospacing="0"/>
        <w:ind w:firstLine="480" w:firstLineChars="200"/>
      </w:pPr>
      <w:r>
        <w:rPr>
          <w:rFonts w:hint="eastAsia"/>
        </w:rPr>
        <w:t>供应商提供的《残疾人福利性单位声明函》与事实不符的，依照《政府采购法》第七十七条第一款的规定追究法律责任。</w:t>
      </w:r>
    </w:p>
    <w:p>
      <w:pPr>
        <w:pStyle w:val="18"/>
        <w:shd w:val="clear" w:color="auto" w:fill="FFFFFF"/>
        <w:spacing w:before="0" w:beforeAutospacing="0" w:after="0" w:afterAutospacing="0"/>
        <w:ind w:firstLine="480" w:firstLineChars="200"/>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8"/>
        <w:shd w:val="clear" w:color="auto" w:fill="FFFFFF"/>
        <w:spacing w:before="0" w:beforeAutospacing="0" w:after="0" w:afterAutospacing="0"/>
        <w:ind w:firstLine="480" w:firstLineChars="200"/>
      </w:pPr>
      <w:r>
        <w:rPr>
          <w:rFonts w:hint="eastAsia"/>
        </w:rPr>
        <w:t>四、采购人采购公开招标数额标准以上的货物或者服务，因落实促进残疾人就业政策的需要，依法履行有关报批程序后，可采用公开招标以外的采购方式。</w:t>
      </w:r>
    </w:p>
    <w:p>
      <w:pPr>
        <w:pStyle w:val="18"/>
        <w:shd w:val="clear" w:color="auto" w:fill="FFFFFF"/>
        <w:spacing w:before="0" w:beforeAutospacing="0" w:after="0" w:afterAutospacing="0" w:line="560" w:lineRule="exact"/>
        <w:ind w:firstLine="480" w:firstLineChars="200"/>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8"/>
        <w:shd w:val="clear" w:color="auto" w:fill="FFFFFF"/>
        <w:spacing w:before="0" w:beforeAutospacing="0" w:after="0" w:afterAutospacing="0" w:line="560" w:lineRule="exact"/>
        <w:ind w:firstLine="480" w:firstLineChars="200"/>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8"/>
        <w:shd w:val="clear" w:color="auto" w:fill="FFFFFF"/>
        <w:spacing w:before="0" w:beforeAutospacing="0" w:after="0" w:afterAutospacing="0" w:line="560" w:lineRule="exact"/>
        <w:ind w:firstLine="480" w:firstLineChars="200"/>
      </w:pPr>
      <w:r>
        <w:rPr>
          <w:rFonts w:hint="eastAsia"/>
        </w:rPr>
        <w:t>七、本通知自2017年10月1日起执行。</w:t>
      </w:r>
    </w:p>
    <w:p>
      <w:pPr>
        <w:pStyle w:val="18"/>
        <w:shd w:val="clear" w:color="auto" w:fill="FFFFFF"/>
        <w:spacing w:before="0" w:beforeAutospacing="0" w:after="0" w:afterAutospacing="0" w:line="560" w:lineRule="exact"/>
        <w:ind w:firstLine="480" w:firstLineChars="200"/>
        <w:jc w:val="right"/>
      </w:pPr>
      <w:r>
        <w:rPr>
          <w:rFonts w:hint="eastAsia"/>
        </w:rPr>
        <w:t>财政部 民政部 中国残疾人联合会</w:t>
      </w:r>
    </w:p>
    <w:p>
      <w:pPr>
        <w:pStyle w:val="18"/>
        <w:shd w:val="clear" w:color="auto" w:fill="FFFFFF"/>
        <w:spacing w:before="0" w:beforeAutospacing="0" w:after="0" w:afterAutospacing="0" w:line="560" w:lineRule="exact"/>
        <w:ind w:firstLine="480" w:firstLineChars="200"/>
        <w:jc w:val="right"/>
      </w:pPr>
      <w:r>
        <w:rPr>
          <w:rFonts w:hint="eastAsia"/>
        </w:rPr>
        <w:t>2017年8月22日</w:t>
      </w: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rPr>
          <w:rFonts w:hint="eastAsia"/>
        </w:rPr>
      </w:pPr>
    </w:p>
    <w:p>
      <w:pPr>
        <w:pStyle w:val="41"/>
        <w:shd w:val="clear" w:color="auto" w:fill="FFFFFF"/>
        <w:spacing w:before="0" w:beforeAutospacing="0" w:after="0" w:afterAutospacing="0" w:line="560" w:lineRule="exact"/>
        <w:jc w:val="both"/>
      </w:pPr>
      <w:r>
        <w:rPr>
          <w:rFonts w:hint="eastAsia"/>
        </w:rPr>
        <w:t>附件：</w:t>
      </w:r>
    </w:p>
    <w:p>
      <w:pPr>
        <w:pStyle w:val="41"/>
        <w:shd w:val="clear" w:color="auto" w:fill="FFFFFF"/>
        <w:spacing w:before="0" w:beforeAutospacing="0" w:after="0" w:afterAutospacing="0" w:line="560" w:lineRule="exact"/>
        <w:ind w:firstLine="482" w:firstLineChars="200"/>
        <w:jc w:val="center"/>
      </w:pPr>
      <w:r>
        <w:rPr>
          <w:rStyle w:val="42"/>
          <w:rFonts w:hint="eastAsia"/>
          <w:b/>
          <w:bCs/>
        </w:rPr>
        <w:t>残疾人福利性单位声明函</w:t>
      </w:r>
    </w:p>
    <w:p>
      <w:pPr>
        <w:pStyle w:val="41"/>
        <w:shd w:val="clear" w:color="auto" w:fill="FFFFFF"/>
        <w:spacing w:before="0" w:beforeAutospacing="0" w:after="0" w:afterAutospacing="0" w:line="560" w:lineRule="exact"/>
        <w:ind w:firstLine="480" w:firstLineChars="200"/>
        <w:jc w:val="both"/>
      </w:pPr>
      <w:r>
        <w:rPr>
          <w:rStyle w:val="42"/>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1"/>
        <w:shd w:val="clear" w:color="auto" w:fill="FFFFFF"/>
        <w:spacing w:before="0" w:beforeAutospacing="0" w:after="0" w:afterAutospacing="0" w:line="560" w:lineRule="exact"/>
        <w:ind w:firstLine="480" w:firstLineChars="200"/>
        <w:jc w:val="both"/>
      </w:pPr>
      <w:r>
        <w:rPr>
          <w:rStyle w:val="42"/>
          <w:rFonts w:hint="eastAsia"/>
        </w:rPr>
        <w:t>本单位对上述声明的真实性负责。如有虚假，将依法承担相应责任。</w:t>
      </w:r>
    </w:p>
    <w:p>
      <w:pPr>
        <w:pStyle w:val="41"/>
        <w:shd w:val="clear" w:color="auto" w:fill="FFFFFF"/>
        <w:spacing w:before="0" w:beforeAutospacing="0" w:after="0" w:afterAutospacing="0" w:line="560" w:lineRule="exact"/>
        <w:ind w:firstLine="480" w:firstLineChars="200"/>
        <w:jc w:val="both"/>
      </w:pPr>
      <w:r>
        <w:rPr>
          <w:rFonts w:hint="eastAsia"/>
        </w:rPr>
        <w:t>投标人已知悉《关于促进残疾人就业政府采购政策的通知》（财库〔2017〕141 号）的规定，承诺提供的声明函内容是真实的，如提供声明函内容不实，则依法追究相关法律责任。</w:t>
      </w:r>
    </w:p>
    <w:p>
      <w:pPr>
        <w:pStyle w:val="41"/>
        <w:shd w:val="clear" w:color="auto" w:fill="FFFFFF"/>
        <w:spacing w:before="0" w:beforeAutospacing="0" w:after="0" w:afterAutospacing="0" w:line="560" w:lineRule="exact"/>
        <w:ind w:right="2100" w:rightChars="1000"/>
        <w:jc w:val="right"/>
      </w:pPr>
      <w:r>
        <w:rPr>
          <w:rStyle w:val="42"/>
          <w:rFonts w:hint="eastAsia"/>
        </w:rPr>
        <w:t>单位名称（盖章）：</w:t>
      </w:r>
    </w:p>
    <w:p>
      <w:pPr>
        <w:pStyle w:val="41"/>
        <w:shd w:val="clear" w:color="auto" w:fill="FFFFFF"/>
        <w:spacing w:before="0" w:beforeAutospacing="0" w:after="0" w:afterAutospacing="0" w:line="560" w:lineRule="exact"/>
        <w:ind w:right="2100" w:rightChars="1000"/>
        <w:jc w:val="right"/>
        <w:rPr>
          <w:lang w:val="fr-CH"/>
        </w:rPr>
      </w:pPr>
      <w:r>
        <w:rPr>
          <w:rStyle w:val="42"/>
          <w:rFonts w:hint="eastAsia"/>
        </w:rPr>
        <w:t>日 期：</w:t>
      </w:r>
    </w:p>
    <w:p>
      <w:pPr>
        <w:tabs>
          <w:tab w:val="left" w:pos="360"/>
        </w:tabs>
        <w:outlineLvl w:val="1"/>
        <w:rPr>
          <w:rFonts w:hint="eastAsia" w:ascii="宋体" w:hAnsi="宋体" w:cs="宋体"/>
          <w:b/>
          <w:bCs/>
          <w:sz w:val="24"/>
          <w:lang w:val="fr-CH"/>
        </w:rPr>
      </w:pPr>
    </w:p>
    <w:p>
      <w:pPr>
        <w:tabs>
          <w:tab w:val="left" w:pos="360"/>
        </w:tabs>
        <w:outlineLvl w:val="1"/>
        <w:rPr>
          <w:rFonts w:hint="eastAsia" w:ascii="宋体" w:hAnsi="宋体" w:cs="宋体"/>
          <w:b/>
          <w:bCs/>
          <w:sz w:val="24"/>
        </w:rPr>
      </w:pPr>
      <w:r>
        <w:rPr>
          <w:rFonts w:hint="eastAsia" w:ascii="宋体" w:hAnsi="宋体" w:cs="宋体"/>
          <w:b/>
          <w:bCs/>
          <w:sz w:val="24"/>
        </w:rPr>
        <w:t>5、《关于大力推进政府采购订单融资支持企业发展有关事宜的通知》(深财购(2026) 19号)</w:t>
      </w:r>
    </w:p>
    <w:p>
      <w:pPr>
        <w:tabs>
          <w:tab w:val="left" w:pos="360"/>
        </w:tabs>
        <w:outlineLvl w:val="1"/>
        <w:rPr>
          <w:rFonts w:hint="eastAsia" w:ascii="宋体" w:hAnsi="宋体" w:eastAsia="宋体" w:cs="宋体"/>
          <w:b/>
          <w:bCs/>
          <w:sz w:val="24"/>
          <w:lang w:eastAsia="zh-CN"/>
        </w:rPr>
      </w:pPr>
      <w:r>
        <w:rPr>
          <w:rFonts w:hint="eastAsia" w:ascii="宋体" w:hAnsi="宋体" w:cs="宋体"/>
          <w:b/>
          <w:bCs/>
          <w:sz w:val="24"/>
        </w:rPr>
        <w:t xml:space="preserve">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 com/gtm/web/guarantee/#/) </w:t>
      </w:r>
      <w:r>
        <w:rPr>
          <w:rFonts w:hint="eastAsia" w:ascii="宋体" w:hAnsi="宋体" w:cs="宋体"/>
          <w:b/>
          <w:bCs/>
          <w:sz w:val="24"/>
          <w:lang w:eastAsia="zh-CN"/>
        </w:rPr>
        <w:t>。</w:t>
      </w:r>
    </w:p>
    <w:sectPr>
      <w:headerReference r:id="rId7" w:type="first"/>
      <w:headerReference r:id="rId5" w:type="default"/>
      <w:headerReference r:id="rId6" w:type="even"/>
      <w:pgSz w:w="11906" w:h="16838"/>
      <w:pgMar w:top="850" w:right="1803" w:bottom="709"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45</w:t>
                          </w:r>
                          <w:r>
                            <w:rPr>
                              <w:rFonts w:ascii="宋体" w:hAnsi="宋体"/>
                              <w:sz w:val="28"/>
                              <w:szCs w:val="28"/>
                            </w:rPr>
                            <w:fldChar w:fldCharType="end"/>
                          </w:r>
                          <w:r>
                            <w:rPr>
                              <w:rFonts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7"/>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45</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1026"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102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B60EDFBE"/>
    <w:multiLevelType w:val="singleLevel"/>
    <w:tmpl w:val="B60EDFBE"/>
    <w:lvl w:ilvl="0" w:tentative="0">
      <w:start w:val="1"/>
      <w:numFmt w:val="decimal"/>
      <w:suff w:val="nothing"/>
      <w:lvlText w:val="（%1）"/>
      <w:lvlJc w:val="left"/>
    </w:lvl>
  </w:abstractNum>
  <w:abstractNum w:abstractNumId="3">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4">
    <w:nsid w:val="00000009"/>
    <w:multiLevelType w:val="singleLevel"/>
    <w:tmpl w:val="00000009"/>
    <w:lvl w:ilvl="0" w:tentative="0">
      <w:start w:val="1"/>
      <w:numFmt w:val="chineseCounting"/>
      <w:suff w:val="nothing"/>
      <w:lvlText w:val="%1、"/>
      <w:lvlJc w:val="left"/>
    </w:lvl>
  </w:abstractNum>
  <w:abstractNum w:abstractNumId="5">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6">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7">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7"/>
  </w:num>
  <w:num w:numId="2">
    <w:abstractNumId w:val="2"/>
  </w:num>
  <w:num w:numId="3">
    <w:abstractNumId w:val="1"/>
  </w:num>
  <w:num w:numId="4">
    <w:abstractNumId w:val="5"/>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KSO_WPS_MARK_KEY" w:val="6c52a594-fa24-4eda-8bdf-1df5baad3362"/>
  </w:docVars>
  <w:rsids>
    <w:rsidRoot w:val="6F152D9A"/>
    <w:rsid w:val="000821F1"/>
    <w:rsid w:val="000A742A"/>
    <w:rsid w:val="001109FF"/>
    <w:rsid w:val="001D1C0C"/>
    <w:rsid w:val="001F0038"/>
    <w:rsid w:val="00291AA1"/>
    <w:rsid w:val="00304B53"/>
    <w:rsid w:val="003168D7"/>
    <w:rsid w:val="003F562F"/>
    <w:rsid w:val="0046340A"/>
    <w:rsid w:val="004819BA"/>
    <w:rsid w:val="004B5B75"/>
    <w:rsid w:val="004E616D"/>
    <w:rsid w:val="00576960"/>
    <w:rsid w:val="00585531"/>
    <w:rsid w:val="00591ED4"/>
    <w:rsid w:val="005B3EB6"/>
    <w:rsid w:val="006A5E20"/>
    <w:rsid w:val="006F2308"/>
    <w:rsid w:val="007743C7"/>
    <w:rsid w:val="00785F49"/>
    <w:rsid w:val="007A51B4"/>
    <w:rsid w:val="007F6682"/>
    <w:rsid w:val="00832935"/>
    <w:rsid w:val="00835CBB"/>
    <w:rsid w:val="00870BFD"/>
    <w:rsid w:val="00924AE0"/>
    <w:rsid w:val="009C337D"/>
    <w:rsid w:val="009C39F9"/>
    <w:rsid w:val="009D033E"/>
    <w:rsid w:val="009E70F5"/>
    <w:rsid w:val="009F1B47"/>
    <w:rsid w:val="00A73F84"/>
    <w:rsid w:val="00A81D22"/>
    <w:rsid w:val="00A87CC4"/>
    <w:rsid w:val="00A955D9"/>
    <w:rsid w:val="00AC7D6D"/>
    <w:rsid w:val="00AF7A8D"/>
    <w:rsid w:val="00B415D1"/>
    <w:rsid w:val="00B6654A"/>
    <w:rsid w:val="00BE0740"/>
    <w:rsid w:val="00BF1095"/>
    <w:rsid w:val="00C33D8C"/>
    <w:rsid w:val="00C7677C"/>
    <w:rsid w:val="00CA5316"/>
    <w:rsid w:val="00CB746E"/>
    <w:rsid w:val="00CD47AB"/>
    <w:rsid w:val="00D2452C"/>
    <w:rsid w:val="00D248BD"/>
    <w:rsid w:val="00D97BE1"/>
    <w:rsid w:val="00DC7C1D"/>
    <w:rsid w:val="00DE5743"/>
    <w:rsid w:val="00DF15AF"/>
    <w:rsid w:val="00E6198E"/>
    <w:rsid w:val="00F3460E"/>
    <w:rsid w:val="00F46F20"/>
    <w:rsid w:val="00F52A8D"/>
    <w:rsid w:val="00F80C5D"/>
    <w:rsid w:val="00F87FEB"/>
    <w:rsid w:val="00FC1BE0"/>
    <w:rsid w:val="01070590"/>
    <w:rsid w:val="010D47BB"/>
    <w:rsid w:val="011D7606"/>
    <w:rsid w:val="01211AD4"/>
    <w:rsid w:val="012B1DC1"/>
    <w:rsid w:val="012D2689"/>
    <w:rsid w:val="01361F25"/>
    <w:rsid w:val="013B4944"/>
    <w:rsid w:val="013B7FED"/>
    <w:rsid w:val="0140411C"/>
    <w:rsid w:val="0159301C"/>
    <w:rsid w:val="01623C7B"/>
    <w:rsid w:val="017E0CD4"/>
    <w:rsid w:val="0185486A"/>
    <w:rsid w:val="018C0929"/>
    <w:rsid w:val="01995E38"/>
    <w:rsid w:val="01AA3877"/>
    <w:rsid w:val="01AF6971"/>
    <w:rsid w:val="01B12E58"/>
    <w:rsid w:val="01B40563"/>
    <w:rsid w:val="01B8192A"/>
    <w:rsid w:val="01C87BD5"/>
    <w:rsid w:val="01CC1A40"/>
    <w:rsid w:val="01D379F0"/>
    <w:rsid w:val="01E27A17"/>
    <w:rsid w:val="020B6A0C"/>
    <w:rsid w:val="022618D2"/>
    <w:rsid w:val="02274EC8"/>
    <w:rsid w:val="02306473"/>
    <w:rsid w:val="02370927"/>
    <w:rsid w:val="023A5F04"/>
    <w:rsid w:val="026305F6"/>
    <w:rsid w:val="02685C0C"/>
    <w:rsid w:val="026A53CC"/>
    <w:rsid w:val="02863423"/>
    <w:rsid w:val="02881E0B"/>
    <w:rsid w:val="02947948"/>
    <w:rsid w:val="02A92B78"/>
    <w:rsid w:val="02AD5464"/>
    <w:rsid w:val="02AD7AC3"/>
    <w:rsid w:val="02CB7F49"/>
    <w:rsid w:val="02DC6BB1"/>
    <w:rsid w:val="02EB738D"/>
    <w:rsid w:val="031134B4"/>
    <w:rsid w:val="031C47EB"/>
    <w:rsid w:val="0334777F"/>
    <w:rsid w:val="0341645D"/>
    <w:rsid w:val="035F5FAE"/>
    <w:rsid w:val="03634626"/>
    <w:rsid w:val="03635BA2"/>
    <w:rsid w:val="036D53D0"/>
    <w:rsid w:val="0375269E"/>
    <w:rsid w:val="0375603F"/>
    <w:rsid w:val="0376310C"/>
    <w:rsid w:val="037A0E7B"/>
    <w:rsid w:val="038A0222"/>
    <w:rsid w:val="038A3EC6"/>
    <w:rsid w:val="03990047"/>
    <w:rsid w:val="03A82039"/>
    <w:rsid w:val="03BE360A"/>
    <w:rsid w:val="03D96696"/>
    <w:rsid w:val="03DD6186"/>
    <w:rsid w:val="03E219EE"/>
    <w:rsid w:val="03F5191B"/>
    <w:rsid w:val="04137DFA"/>
    <w:rsid w:val="041A1188"/>
    <w:rsid w:val="042277B0"/>
    <w:rsid w:val="043343BF"/>
    <w:rsid w:val="044004C3"/>
    <w:rsid w:val="0442248D"/>
    <w:rsid w:val="04474B37"/>
    <w:rsid w:val="044959C1"/>
    <w:rsid w:val="046E2054"/>
    <w:rsid w:val="04724631"/>
    <w:rsid w:val="04A005CC"/>
    <w:rsid w:val="04A35474"/>
    <w:rsid w:val="04B50EB1"/>
    <w:rsid w:val="04C63705"/>
    <w:rsid w:val="04E377CC"/>
    <w:rsid w:val="04E725CC"/>
    <w:rsid w:val="04FF037E"/>
    <w:rsid w:val="05062697"/>
    <w:rsid w:val="050D3A03"/>
    <w:rsid w:val="051A0D14"/>
    <w:rsid w:val="051A4FE6"/>
    <w:rsid w:val="052E47BF"/>
    <w:rsid w:val="053973EC"/>
    <w:rsid w:val="054B35C3"/>
    <w:rsid w:val="055E50A5"/>
    <w:rsid w:val="055E5422"/>
    <w:rsid w:val="057C4BBE"/>
    <w:rsid w:val="05804BC2"/>
    <w:rsid w:val="05850883"/>
    <w:rsid w:val="058E7EB0"/>
    <w:rsid w:val="0594022D"/>
    <w:rsid w:val="05AA653C"/>
    <w:rsid w:val="05C80C71"/>
    <w:rsid w:val="05CD1439"/>
    <w:rsid w:val="05D67331"/>
    <w:rsid w:val="05D74AE1"/>
    <w:rsid w:val="05D9775C"/>
    <w:rsid w:val="05FD2B10"/>
    <w:rsid w:val="06336033"/>
    <w:rsid w:val="06515344"/>
    <w:rsid w:val="06625C39"/>
    <w:rsid w:val="068A098C"/>
    <w:rsid w:val="069C665E"/>
    <w:rsid w:val="069E458D"/>
    <w:rsid w:val="06A74AA2"/>
    <w:rsid w:val="06B47256"/>
    <w:rsid w:val="06BC14B2"/>
    <w:rsid w:val="06BE2A9A"/>
    <w:rsid w:val="06C44D16"/>
    <w:rsid w:val="06C50397"/>
    <w:rsid w:val="06CC4290"/>
    <w:rsid w:val="06D00EEB"/>
    <w:rsid w:val="06E23AB3"/>
    <w:rsid w:val="06E332E1"/>
    <w:rsid w:val="06F30D45"/>
    <w:rsid w:val="06F32700"/>
    <w:rsid w:val="07046BC9"/>
    <w:rsid w:val="070D6D82"/>
    <w:rsid w:val="07235607"/>
    <w:rsid w:val="072D6233"/>
    <w:rsid w:val="072F63A4"/>
    <w:rsid w:val="07501AE3"/>
    <w:rsid w:val="07521B5C"/>
    <w:rsid w:val="07666493"/>
    <w:rsid w:val="0769037B"/>
    <w:rsid w:val="07787DB5"/>
    <w:rsid w:val="077961C6"/>
    <w:rsid w:val="07994850"/>
    <w:rsid w:val="07AA45D1"/>
    <w:rsid w:val="07AC659B"/>
    <w:rsid w:val="07B13BB2"/>
    <w:rsid w:val="07B714A8"/>
    <w:rsid w:val="07CB4548"/>
    <w:rsid w:val="07E75482"/>
    <w:rsid w:val="07E8334B"/>
    <w:rsid w:val="07EA2C20"/>
    <w:rsid w:val="07FD54F6"/>
    <w:rsid w:val="080A32D3"/>
    <w:rsid w:val="08206FE1"/>
    <w:rsid w:val="08497AA6"/>
    <w:rsid w:val="085D7D94"/>
    <w:rsid w:val="087C541A"/>
    <w:rsid w:val="088300A5"/>
    <w:rsid w:val="088F5575"/>
    <w:rsid w:val="08950582"/>
    <w:rsid w:val="08AC0E08"/>
    <w:rsid w:val="08CE609D"/>
    <w:rsid w:val="08E57A87"/>
    <w:rsid w:val="08E92ED7"/>
    <w:rsid w:val="08F43C68"/>
    <w:rsid w:val="090306E4"/>
    <w:rsid w:val="090931C4"/>
    <w:rsid w:val="090A34E0"/>
    <w:rsid w:val="090C38B9"/>
    <w:rsid w:val="09300B06"/>
    <w:rsid w:val="093305F6"/>
    <w:rsid w:val="09353038"/>
    <w:rsid w:val="093822B1"/>
    <w:rsid w:val="09491BC8"/>
    <w:rsid w:val="09575898"/>
    <w:rsid w:val="09592469"/>
    <w:rsid w:val="096F55F7"/>
    <w:rsid w:val="09823515"/>
    <w:rsid w:val="09A42169"/>
    <w:rsid w:val="09AF2373"/>
    <w:rsid w:val="09B73345"/>
    <w:rsid w:val="09C84ED3"/>
    <w:rsid w:val="09CD6DFD"/>
    <w:rsid w:val="09F77876"/>
    <w:rsid w:val="0A0C5A96"/>
    <w:rsid w:val="0A2A768E"/>
    <w:rsid w:val="0A3B3C06"/>
    <w:rsid w:val="0A570F70"/>
    <w:rsid w:val="0A5B7D15"/>
    <w:rsid w:val="0A5E16A3"/>
    <w:rsid w:val="0A602146"/>
    <w:rsid w:val="0A6A44EC"/>
    <w:rsid w:val="0A896457"/>
    <w:rsid w:val="0A8A693C"/>
    <w:rsid w:val="0A97236A"/>
    <w:rsid w:val="0A99092D"/>
    <w:rsid w:val="0A9B6453"/>
    <w:rsid w:val="0AA51080"/>
    <w:rsid w:val="0AA72E75"/>
    <w:rsid w:val="0AB80AEB"/>
    <w:rsid w:val="0AB85257"/>
    <w:rsid w:val="0AD731CB"/>
    <w:rsid w:val="0AE20526"/>
    <w:rsid w:val="0AE37DDF"/>
    <w:rsid w:val="0B036509"/>
    <w:rsid w:val="0B0C40B2"/>
    <w:rsid w:val="0B140280"/>
    <w:rsid w:val="0B246449"/>
    <w:rsid w:val="0B260413"/>
    <w:rsid w:val="0B352F5D"/>
    <w:rsid w:val="0B3D39AE"/>
    <w:rsid w:val="0B445AA4"/>
    <w:rsid w:val="0B5519C9"/>
    <w:rsid w:val="0B6719E5"/>
    <w:rsid w:val="0B7B37EB"/>
    <w:rsid w:val="0B885586"/>
    <w:rsid w:val="0B925AA8"/>
    <w:rsid w:val="0B92655F"/>
    <w:rsid w:val="0B984E94"/>
    <w:rsid w:val="0BAB25C9"/>
    <w:rsid w:val="0BAE21B6"/>
    <w:rsid w:val="0BB275A6"/>
    <w:rsid w:val="0BB91DF1"/>
    <w:rsid w:val="0BCB4B16"/>
    <w:rsid w:val="0BCD088E"/>
    <w:rsid w:val="0BD240F7"/>
    <w:rsid w:val="0BD31C1D"/>
    <w:rsid w:val="0BD75BB1"/>
    <w:rsid w:val="0BE62205"/>
    <w:rsid w:val="0BF92B66"/>
    <w:rsid w:val="0C115BEF"/>
    <w:rsid w:val="0C1C5727"/>
    <w:rsid w:val="0C2B0B3A"/>
    <w:rsid w:val="0C45359F"/>
    <w:rsid w:val="0C70493E"/>
    <w:rsid w:val="0C760F5D"/>
    <w:rsid w:val="0C7A124E"/>
    <w:rsid w:val="0C822ACA"/>
    <w:rsid w:val="0C946488"/>
    <w:rsid w:val="0CAB21EE"/>
    <w:rsid w:val="0CAC4948"/>
    <w:rsid w:val="0CB0538F"/>
    <w:rsid w:val="0CB70393"/>
    <w:rsid w:val="0CBB0F79"/>
    <w:rsid w:val="0CBB2DDD"/>
    <w:rsid w:val="0CD65E68"/>
    <w:rsid w:val="0CE56A55"/>
    <w:rsid w:val="0CEF0CD8"/>
    <w:rsid w:val="0CF956B3"/>
    <w:rsid w:val="0CFA3905"/>
    <w:rsid w:val="0D0429D6"/>
    <w:rsid w:val="0D046532"/>
    <w:rsid w:val="0D1946A3"/>
    <w:rsid w:val="0D1954AC"/>
    <w:rsid w:val="0D1B3405"/>
    <w:rsid w:val="0D1F336B"/>
    <w:rsid w:val="0D200E92"/>
    <w:rsid w:val="0D2C7836"/>
    <w:rsid w:val="0D396D82"/>
    <w:rsid w:val="0D3F1CF7"/>
    <w:rsid w:val="0D4402D3"/>
    <w:rsid w:val="0D447276"/>
    <w:rsid w:val="0D5374B9"/>
    <w:rsid w:val="0D5C54A5"/>
    <w:rsid w:val="0D624FA8"/>
    <w:rsid w:val="0D6E7E4F"/>
    <w:rsid w:val="0D7E4CC4"/>
    <w:rsid w:val="0D9B4B4C"/>
    <w:rsid w:val="0D9F3011"/>
    <w:rsid w:val="0DB22432"/>
    <w:rsid w:val="0DC34AA9"/>
    <w:rsid w:val="0DD46C7B"/>
    <w:rsid w:val="0DDA3736"/>
    <w:rsid w:val="0DDC6E3D"/>
    <w:rsid w:val="0DF052B3"/>
    <w:rsid w:val="0E076811"/>
    <w:rsid w:val="0E0A5DCA"/>
    <w:rsid w:val="0E193C3D"/>
    <w:rsid w:val="0E303356"/>
    <w:rsid w:val="0E3C1CFB"/>
    <w:rsid w:val="0E430BBB"/>
    <w:rsid w:val="0E4B0853"/>
    <w:rsid w:val="0E567030"/>
    <w:rsid w:val="0E59465B"/>
    <w:rsid w:val="0E6800DA"/>
    <w:rsid w:val="0E745939"/>
    <w:rsid w:val="0E8D0BC4"/>
    <w:rsid w:val="0E9953A0"/>
    <w:rsid w:val="0E9B1118"/>
    <w:rsid w:val="0EA25A44"/>
    <w:rsid w:val="0EA53D44"/>
    <w:rsid w:val="0EA77ABC"/>
    <w:rsid w:val="0EB86C56"/>
    <w:rsid w:val="0EC248F6"/>
    <w:rsid w:val="0EC73CBB"/>
    <w:rsid w:val="0ED40186"/>
    <w:rsid w:val="0EDC703A"/>
    <w:rsid w:val="0EDF7256"/>
    <w:rsid w:val="0EE83D6C"/>
    <w:rsid w:val="0EEE550D"/>
    <w:rsid w:val="0F052A35"/>
    <w:rsid w:val="0F0E3698"/>
    <w:rsid w:val="0F18170A"/>
    <w:rsid w:val="0F2A5DFB"/>
    <w:rsid w:val="0F3570A3"/>
    <w:rsid w:val="0F474BA3"/>
    <w:rsid w:val="0F5B2655"/>
    <w:rsid w:val="0F6063AF"/>
    <w:rsid w:val="0F670FFA"/>
    <w:rsid w:val="0F7D081D"/>
    <w:rsid w:val="0F7F4EC6"/>
    <w:rsid w:val="0F932761"/>
    <w:rsid w:val="0FA07629"/>
    <w:rsid w:val="0FAC4C5F"/>
    <w:rsid w:val="0FB00BF3"/>
    <w:rsid w:val="0FDE750E"/>
    <w:rsid w:val="0FDF48E7"/>
    <w:rsid w:val="0FE254EF"/>
    <w:rsid w:val="0FE96BFE"/>
    <w:rsid w:val="0FF5D091"/>
    <w:rsid w:val="0FFF663B"/>
    <w:rsid w:val="10134CDE"/>
    <w:rsid w:val="101747CE"/>
    <w:rsid w:val="102A0B24"/>
    <w:rsid w:val="102C5B1A"/>
    <w:rsid w:val="102D2243"/>
    <w:rsid w:val="10365E2E"/>
    <w:rsid w:val="10394744"/>
    <w:rsid w:val="105B405A"/>
    <w:rsid w:val="10634BF3"/>
    <w:rsid w:val="1065378B"/>
    <w:rsid w:val="10686DD7"/>
    <w:rsid w:val="10792762"/>
    <w:rsid w:val="107A726D"/>
    <w:rsid w:val="10836104"/>
    <w:rsid w:val="10857989"/>
    <w:rsid w:val="108B0D18"/>
    <w:rsid w:val="108B4148"/>
    <w:rsid w:val="10993F47"/>
    <w:rsid w:val="10B40C48"/>
    <w:rsid w:val="10D40911"/>
    <w:rsid w:val="10EA0134"/>
    <w:rsid w:val="10FB7C09"/>
    <w:rsid w:val="112371A2"/>
    <w:rsid w:val="113F222E"/>
    <w:rsid w:val="114951EA"/>
    <w:rsid w:val="116E61A6"/>
    <w:rsid w:val="117218C6"/>
    <w:rsid w:val="117D68B3"/>
    <w:rsid w:val="11933975"/>
    <w:rsid w:val="119473B4"/>
    <w:rsid w:val="11990174"/>
    <w:rsid w:val="11A5590F"/>
    <w:rsid w:val="11D42AA6"/>
    <w:rsid w:val="11E626AA"/>
    <w:rsid w:val="11FE3E97"/>
    <w:rsid w:val="12220029"/>
    <w:rsid w:val="123376EC"/>
    <w:rsid w:val="12431D83"/>
    <w:rsid w:val="12437AFC"/>
    <w:rsid w:val="125875C4"/>
    <w:rsid w:val="125B755A"/>
    <w:rsid w:val="12616CD8"/>
    <w:rsid w:val="12723F3D"/>
    <w:rsid w:val="12771554"/>
    <w:rsid w:val="12820336"/>
    <w:rsid w:val="129567E6"/>
    <w:rsid w:val="12971BF6"/>
    <w:rsid w:val="12AA7B7B"/>
    <w:rsid w:val="12D149BF"/>
    <w:rsid w:val="12D65CA8"/>
    <w:rsid w:val="12E91C37"/>
    <w:rsid w:val="12FC6E07"/>
    <w:rsid w:val="13021765"/>
    <w:rsid w:val="130D18FD"/>
    <w:rsid w:val="130F4553"/>
    <w:rsid w:val="13160D6D"/>
    <w:rsid w:val="13242E4C"/>
    <w:rsid w:val="13426006"/>
    <w:rsid w:val="13623D17"/>
    <w:rsid w:val="1369544C"/>
    <w:rsid w:val="137139FA"/>
    <w:rsid w:val="1373154F"/>
    <w:rsid w:val="137B2173"/>
    <w:rsid w:val="137FA8DD"/>
    <w:rsid w:val="138A5087"/>
    <w:rsid w:val="13951544"/>
    <w:rsid w:val="139B74C4"/>
    <w:rsid w:val="13A1291C"/>
    <w:rsid w:val="13A76534"/>
    <w:rsid w:val="13C771D9"/>
    <w:rsid w:val="13CE1647"/>
    <w:rsid w:val="13D76995"/>
    <w:rsid w:val="13DA0C71"/>
    <w:rsid w:val="13DB5B12"/>
    <w:rsid w:val="13E90B4A"/>
    <w:rsid w:val="13F57F6C"/>
    <w:rsid w:val="14096B23"/>
    <w:rsid w:val="140E7C96"/>
    <w:rsid w:val="14151024"/>
    <w:rsid w:val="14386534"/>
    <w:rsid w:val="144B713C"/>
    <w:rsid w:val="144E5BAF"/>
    <w:rsid w:val="145B077C"/>
    <w:rsid w:val="14691987"/>
    <w:rsid w:val="148F7029"/>
    <w:rsid w:val="14904B4F"/>
    <w:rsid w:val="149363ED"/>
    <w:rsid w:val="149A5B83"/>
    <w:rsid w:val="14A45DAC"/>
    <w:rsid w:val="14BE346A"/>
    <w:rsid w:val="14C64A14"/>
    <w:rsid w:val="14CF4106"/>
    <w:rsid w:val="14D17C89"/>
    <w:rsid w:val="14D83808"/>
    <w:rsid w:val="14D94748"/>
    <w:rsid w:val="14FE7D0A"/>
    <w:rsid w:val="1528122B"/>
    <w:rsid w:val="15293404"/>
    <w:rsid w:val="15334DC3"/>
    <w:rsid w:val="15347304"/>
    <w:rsid w:val="153823D3"/>
    <w:rsid w:val="153B4ABB"/>
    <w:rsid w:val="15567B46"/>
    <w:rsid w:val="15610299"/>
    <w:rsid w:val="1569013A"/>
    <w:rsid w:val="15897F1C"/>
    <w:rsid w:val="1597466A"/>
    <w:rsid w:val="15A52514"/>
    <w:rsid w:val="15BC1451"/>
    <w:rsid w:val="15C70A44"/>
    <w:rsid w:val="15CF7A00"/>
    <w:rsid w:val="15FF1F8C"/>
    <w:rsid w:val="16027A14"/>
    <w:rsid w:val="160C1181"/>
    <w:rsid w:val="162A366D"/>
    <w:rsid w:val="16322361"/>
    <w:rsid w:val="1633052E"/>
    <w:rsid w:val="163F247B"/>
    <w:rsid w:val="164B3423"/>
    <w:rsid w:val="16511B6C"/>
    <w:rsid w:val="165A18B8"/>
    <w:rsid w:val="16610551"/>
    <w:rsid w:val="167A7865"/>
    <w:rsid w:val="167C182F"/>
    <w:rsid w:val="16817906"/>
    <w:rsid w:val="168416D9"/>
    <w:rsid w:val="16945039"/>
    <w:rsid w:val="16B46578"/>
    <w:rsid w:val="16C3745D"/>
    <w:rsid w:val="16C52AF8"/>
    <w:rsid w:val="16C531D6"/>
    <w:rsid w:val="16C87CA3"/>
    <w:rsid w:val="16CF7BB0"/>
    <w:rsid w:val="16D8450A"/>
    <w:rsid w:val="16E80C72"/>
    <w:rsid w:val="17033CFE"/>
    <w:rsid w:val="171D5762"/>
    <w:rsid w:val="171F4A71"/>
    <w:rsid w:val="1732767F"/>
    <w:rsid w:val="17361B83"/>
    <w:rsid w:val="17396DCE"/>
    <w:rsid w:val="173F4503"/>
    <w:rsid w:val="174A0D2D"/>
    <w:rsid w:val="175B58E8"/>
    <w:rsid w:val="176431CF"/>
    <w:rsid w:val="176975EF"/>
    <w:rsid w:val="178A03DE"/>
    <w:rsid w:val="17935082"/>
    <w:rsid w:val="17A322AC"/>
    <w:rsid w:val="17A4103D"/>
    <w:rsid w:val="17B01E78"/>
    <w:rsid w:val="17CC40F0"/>
    <w:rsid w:val="17FD60AF"/>
    <w:rsid w:val="180C2F5C"/>
    <w:rsid w:val="180D7774"/>
    <w:rsid w:val="183A22A9"/>
    <w:rsid w:val="184B770B"/>
    <w:rsid w:val="1853182C"/>
    <w:rsid w:val="18822A00"/>
    <w:rsid w:val="188C7AF9"/>
    <w:rsid w:val="18C46036"/>
    <w:rsid w:val="18CE748A"/>
    <w:rsid w:val="18D25736"/>
    <w:rsid w:val="18E667DE"/>
    <w:rsid w:val="19045FB6"/>
    <w:rsid w:val="190B1AB7"/>
    <w:rsid w:val="190E1E92"/>
    <w:rsid w:val="190E4E8A"/>
    <w:rsid w:val="191E2C88"/>
    <w:rsid w:val="191E47AE"/>
    <w:rsid w:val="19213D00"/>
    <w:rsid w:val="192E19B5"/>
    <w:rsid w:val="193E2DCB"/>
    <w:rsid w:val="194A5C14"/>
    <w:rsid w:val="194B4539"/>
    <w:rsid w:val="19524450"/>
    <w:rsid w:val="195A7AB6"/>
    <w:rsid w:val="195F27BC"/>
    <w:rsid w:val="19677F5C"/>
    <w:rsid w:val="198166C6"/>
    <w:rsid w:val="198729C4"/>
    <w:rsid w:val="199FA76B"/>
    <w:rsid w:val="19A15F01"/>
    <w:rsid w:val="19A8293B"/>
    <w:rsid w:val="19AA0461"/>
    <w:rsid w:val="19C137C8"/>
    <w:rsid w:val="19D63004"/>
    <w:rsid w:val="19ED121F"/>
    <w:rsid w:val="19EF3664"/>
    <w:rsid w:val="1A0256C7"/>
    <w:rsid w:val="1A051B3B"/>
    <w:rsid w:val="1A0F6EBC"/>
    <w:rsid w:val="1A3C3E2A"/>
    <w:rsid w:val="1A3D12D5"/>
    <w:rsid w:val="1A462DAD"/>
    <w:rsid w:val="1A571CAA"/>
    <w:rsid w:val="1A5F56EF"/>
    <w:rsid w:val="1A680537"/>
    <w:rsid w:val="1A6C5822"/>
    <w:rsid w:val="1A8A3DEE"/>
    <w:rsid w:val="1A8E78C8"/>
    <w:rsid w:val="1A914D5C"/>
    <w:rsid w:val="1A9A2283"/>
    <w:rsid w:val="1A9B5FFB"/>
    <w:rsid w:val="1AAE5E28"/>
    <w:rsid w:val="1AC27A2C"/>
    <w:rsid w:val="1AD46734"/>
    <w:rsid w:val="1AD87250"/>
    <w:rsid w:val="1ADF413A"/>
    <w:rsid w:val="1AED4941"/>
    <w:rsid w:val="1AED6666"/>
    <w:rsid w:val="1AF264E1"/>
    <w:rsid w:val="1AF37BE5"/>
    <w:rsid w:val="1AF745BC"/>
    <w:rsid w:val="1B155DAE"/>
    <w:rsid w:val="1B244243"/>
    <w:rsid w:val="1B33402F"/>
    <w:rsid w:val="1B3B1CB8"/>
    <w:rsid w:val="1B417F7A"/>
    <w:rsid w:val="1B5508A0"/>
    <w:rsid w:val="1B58491A"/>
    <w:rsid w:val="1B5E1503"/>
    <w:rsid w:val="1B5E3AB8"/>
    <w:rsid w:val="1B822B4E"/>
    <w:rsid w:val="1B834AAE"/>
    <w:rsid w:val="1B9637E8"/>
    <w:rsid w:val="1BB235FD"/>
    <w:rsid w:val="1BB9498B"/>
    <w:rsid w:val="1BC947C4"/>
    <w:rsid w:val="1BD27C70"/>
    <w:rsid w:val="1BD96DDB"/>
    <w:rsid w:val="1BEC00F8"/>
    <w:rsid w:val="1C00080C"/>
    <w:rsid w:val="1C0F6CA1"/>
    <w:rsid w:val="1C163F7C"/>
    <w:rsid w:val="1C2344FA"/>
    <w:rsid w:val="1C2529FF"/>
    <w:rsid w:val="1C27223D"/>
    <w:rsid w:val="1C427076"/>
    <w:rsid w:val="1C522596"/>
    <w:rsid w:val="1C5648D0"/>
    <w:rsid w:val="1C5B5A42"/>
    <w:rsid w:val="1C6F14EE"/>
    <w:rsid w:val="1C9211BE"/>
    <w:rsid w:val="1CA23671"/>
    <w:rsid w:val="1CA266AD"/>
    <w:rsid w:val="1CAB4C1C"/>
    <w:rsid w:val="1CB425E3"/>
    <w:rsid w:val="1CB43DBF"/>
    <w:rsid w:val="1CD31A7D"/>
    <w:rsid w:val="1CEE3304"/>
    <w:rsid w:val="1CEF358F"/>
    <w:rsid w:val="1CF7709A"/>
    <w:rsid w:val="1D174D30"/>
    <w:rsid w:val="1D2247B2"/>
    <w:rsid w:val="1D274825"/>
    <w:rsid w:val="1D2B18B9"/>
    <w:rsid w:val="1D2E12C2"/>
    <w:rsid w:val="1D3EC33C"/>
    <w:rsid w:val="1D44297A"/>
    <w:rsid w:val="1D4B7BDA"/>
    <w:rsid w:val="1D552DD9"/>
    <w:rsid w:val="1D734FE3"/>
    <w:rsid w:val="1D7414B2"/>
    <w:rsid w:val="1D815FCC"/>
    <w:rsid w:val="1D927B8A"/>
    <w:rsid w:val="1D9D43F0"/>
    <w:rsid w:val="1DB26E14"/>
    <w:rsid w:val="1DC42A0B"/>
    <w:rsid w:val="1DCA2E80"/>
    <w:rsid w:val="1DCD7725"/>
    <w:rsid w:val="1DCF4116"/>
    <w:rsid w:val="1DFB6F31"/>
    <w:rsid w:val="1E024641"/>
    <w:rsid w:val="1E03038B"/>
    <w:rsid w:val="1E2361D4"/>
    <w:rsid w:val="1E25455A"/>
    <w:rsid w:val="1E2F362A"/>
    <w:rsid w:val="1E340C41"/>
    <w:rsid w:val="1E403142"/>
    <w:rsid w:val="1E6B7566"/>
    <w:rsid w:val="1E781388"/>
    <w:rsid w:val="1E870959"/>
    <w:rsid w:val="1E923BA9"/>
    <w:rsid w:val="1E9B2886"/>
    <w:rsid w:val="1EA062D6"/>
    <w:rsid w:val="1EA47B74"/>
    <w:rsid w:val="1EAE454F"/>
    <w:rsid w:val="1EB25197"/>
    <w:rsid w:val="1EC51899"/>
    <w:rsid w:val="1ECC5479"/>
    <w:rsid w:val="1EEF7754"/>
    <w:rsid w:val="1F006CA5"/>
    <w:rsid w:val="1F27593E"/>
    <w:rsid w:val="1F394761"/>
    <w:rsid w:val="1F4D21A9"/>
    <w:rsid w:val="1F5275D0"/>
    <w:rsid w:val="1F6A2B6C"/>
    <w:rsid w:val="1F7114FD"/>
    <w:rsid w:val="1F745799"/>
    <w:rsid w:val="1F8D685B"/>
    <w:rsid w:val="1F902E99"/>
    <w:rsid w:val="1F923E71"/>
    <w:rsid w:val="1F9BB067"/>
    <w:rsid w:val="1F9E45C4"/>
    <w:rsid w:val="1FA31BDA"/>
    <w:rsid w:val="1FB47A5D"/>
    <w:rsid w:val="1FCF0C21"/>
    <w:rsid w:val="1FD4509C"/>
    <w:rsid w:val="1FF42436"/>
    <w:rsid w:val="1FFF00F8"/>
    <w:rsid w:val="200655C0"/>
    <w:rsid w:val="200E78F3"/>
    <w:rsid w:val="20126D60"/>
    <w:rsid w:val="201C198C"/>
    <w:rsid w:val="20266068"/>
    <w:rsid w:val="20717F2A"/>
    <w:rsid w:val="207417C9"/>
    <w:rsid w:val="20827A42"/>
    <w:rsid w:val="209C776B"/>
    <w:rsid w:val="20AA3CDC"/>
    <w:rsid w:val="20AB09C3"/>
    <w:rsid w:val="20B23D8A"/>
    <w:rsid w:val="20C51022"/>
    <w:rsid w:val="20C56C00"/>
    <w:rsid w:val="20D54766"/>
    <w:rsid w:val="20D626D7"/>
    <w:rsid w:val="20DD55C0"/>
    <w:rsid w:val="20F86993"/>
    <w:rsid w:val="20FD531A"/>
    <w:rsid w:val="21083E52"/>
    <w:rsid w:val="213760C2"/>
    <w:rsid w:val="213D22F1"/>
    <w:rsid w:val="213F6706"/>
    <w:rsid w:val="21457A73"/>
    <w:rsid w:val="2165078C"/>
    <w:rsid w:val="216A647F"/>
    <w:rsid w:val="217557F8"/>
    <w:rsid w:val="218B0B78"/>
    <w:rsid w:val="21A63C04"/>
    <w:rsid w:val="21A734D8"/>
    <w:rsid w:val="21B53E47"/>
    <w:rsid w:val="21CF315A"/>
    <w:rsid w:val="21F030D1"/>
    <w:rsid w:val="220628F4"/>
    <w:rsid w:val="220F69D1"/>
    <w:rsid w:val="220F79FB"/>
    <w:rsid w:val="221C2372"/>
    <w:rsid w:val="2221328A"/>
    <w:rsid w:val="22235254"/>
    <w:rsid w:val="22266AF2"/>
    <w:rsid w:val="22274D44"/>
    <w:rsid w:val="2245341D"/>
    <w:rsid w:val="22462A8A"/>
    <w:rsid w:val="22543B20"/>
    <w:rsid w:val="22574EFE"/>
    <w:rsid w:val="22696FF6"/>
    <w:rsid w:val="226A4C31"/>
    <w:rsid w:val="2272723D"/>
    <w:rsid w:val="22916066"/>
    <w:rsid w:val="22993768"/>
    <w:rsid w:val="229B431D"/>
    <w:rsid w:val="229F2035"/>
    <w:rsid w:val="229F66F7"/>
    <w:rsid w:val="22B67E76"/>
    <w:rsid w:val="22B7264E"/>
    <w:rsid w:val="22B73217"/>
    <w:rsid w:val="22C87E82"/>
    <w:rsid w:val="22E569AE"/>
    <w:rsid w:val="22E83DA8"/>
    <w:rsid w:val="22F81E30"/>
    <w:rsid w:val="23006025"/>
    <w:rsid w:val="230102D9"/>
    <w:rsid w:val="23052BAC"/>
    <w:rsid w:val="230B7162"/>
    <w:rsid w:val="230C1C0F"/>
    <w:rsid w:val="232748D0"/>
    <w:rsid w:val="23353491"/>
    <w:rsid w:val="233A6376"/>
    <w:rsid w:val="23445482"/>
    <w:rsid w:val="234731C4"/>
    <w:rsid w:val="23517B9F"/>
    <w:rsid w:val="23531B69"/>
    <w:rsid w:val="23664217"/>
    <w:rsid w:val="236B0C61"/>
    <w:rsid w:val="237B3387"/>
    <w:rsid w:val="238E2BA1"/>
    <w:rsid w:val="23915FA1"/>
    <w:rsid w:val="23A5639B"/>
    <w:rsid w:val="23A67435"/>
    <w:rsid w:val="23BC770E"/>
    <w:rsid w:val="23D206CD"/>
    <w:rsid w:val="23F724F4"/>
    <w:rsid w:val="23FE3883"/>
    <w:rsid w:val="240708CD"/>
    <w:rsid w:val="240F5A90"/>
    <w:rsid w:val="24106476"/>
    <w:rsid w:val="24162D28"/>
    <w:rsid w:val="2424417A"/>
    <w:rsid w:val="24293F8F"/>
    <w:rsid w:val="242A697A"/>
    <w:rsid w:val="243674C1"/>
    <w:rsid w:val="24380CC8"/>
    <w:rsid w:val="243A63CC"/>
    <w:rsid w:val="246C10ED"/>
    <w:rsid w:val="24904744"/>
    <w:rsid w:val="249F3FA9"/>
    <w:rsid w:val="24B50A8F"/>
    <w:rsid w:val="24C62058"/>
    <w:rsid w:val="24C745BD"/>
    <w:rsid w:val="24CB1A37"/>
    <w:rsid w:val="24D83DB6"/>
    <w:rsid w:val="24E54522"/>
    <w:rsid w:val="24F70BE8"/>
    <w:rsid w:val="2505221B"/>
    <w:rsid w:val="25181323"/>
    <w:rsid w:val="251F222D"/>
    <w:rsid w:val="25237319"/>
    <w:rsid w:val="252F6C1F"/>
    <w:rsid w:val="25333A00"/>
    <w:rsid w:val="25561143"/>
    <w:rsid w:val="256440B7"/>
    <w:rsid w:val="256F64AA"/>
    <w:rsid w:val="257B7047"/>
    <w:rsid w:val="25B43E15"/>
    <w:rsid w:val="25B44CD6"/>
    <w:rsid w:val="25D53C59"/>
    <w:rsid w:val="25DF4AD8"/>
    <w:rsid w:val="25E75A1D"/>
    <w:rsid w:val="25E76599"/>
    <w:rsid w:val="25F07BA6"/>
    <w:rsid w:val="25FA2770"/>
    <w:rsid w:val="25FC2044"/>
    <w:rsid w:val="26025181"/>
    <w:rsid w:val="260F2A28"/>
    <w:rsid w:val="26176E7E"/>
    <w:rsid w:val="26201D24"/>
    <w:rsid w:val="26322643"/>
    <w:rsid w:val="263631A5"/>
    <w:rsid w:val="2637667A"/>
    <w:rsid w:val="26655E3B"/>
    <w:rsid w:val="269F15EB"/>
    <w:rsid w:val="26A26863"/>
    <w:rsid w:val="26AA1AA0"/>
    <w:rsid w:val="26BE19EF"/>
    <w:rsid w:val="26D7485F"/>
    <w:rsid w:val="26E24FAE"/>
    <w:rsid w:val="26F7280B"/>
    <w:rsid w:val="26FD42C6"/>
    <w:rsid w:val="270D387F"/>
    <w:rsid w:val="27167136"/>
    <w:rsid w:val="27545EB0"/>
    <w:rsid w:val="27734588"/>
    <w:rsid w:val="27742917"/>
    <w:rsid w:val="27781B9E"/>
    <w:rsid w:val="277F4CDB"/>
    <w:rsid w:val="2780146B"/>
    <w:rsid w:val="2786250D"/>
    <w:rsid w:val="278B2E18"/>
    <w:rsid w:val="27914CC8"/>
    <w:rsid w:val="27985D9D"/>
    <w:rsid w:val="279D1605"/>
    <w:rsid w:val="27A12E18"/>
    <w:rsid w:val="27A42993"/>
    <w:rsid w:val="27AA2337"/>
    <w:rsid w:val="27AC7A9A"/>
    <w:rsid w:val="27CF7A19"/>
    <w:rsid w:val="27D019DA"/>
    <w:rsid w:val="27D43A93"/>
    <w:rsid w:val="27D52687"/>
    <w:rsid w:val="27D6739B"/>
    <w:rsid w:val="27DA0163"/>
    <w:rsid w:val="27E45F94"/>
    <w:rsid w:val="27E70AD2"/>
    <w:rsid w:val="28131C63"/>
    <w:rsid w:val="28150C75"/>
    <w:rsid w:val="282F222C"/>
    <w:rsid w:val="283B3016"/>
    <w:rsid w:val="284A32BF"/>
    <w:rsid w:val="28626D75"/>
    <w:rsid w:val="286F3F95"/>
    <w:rsid w:val="287B7F79"/>
    <w:rsid w:val="28A4024E"/>
    <w:rsid w:val="28B135BA"/>
    <w:rsid w:val="28B9528A"/>
    <w:rsid w:val="28BC481A"/>
    <w:rsid w:val="28C01A4F"/>
    <w:rsid w:val="28D92B11"/>
    <w:rsid w:val="28F24E95"/>
    <w:rsid w:val="28F434A6"/>
    <w:rsid w:val="28FC23EA"/>
    <w:rsid w:val="29053273"/>
    <w:rsid w:val="290B69C6"/>
    <w:rsid w:val="290C61FF"/>
    <w:rsid w:val="291458F7"/>
    <w:rsid w:val="2916341D"/>
    <w:rsid w:val="291853E7"/>
    <w:rsid w:val="291E2E7B"/>
    <w:rsid w:val="292875F4"/>
    <w:rsid w:val="29290FE4"/>
    <w:rsid w:val="29376315"/>
    <w:rsid w:val="29501633"/>
    <w:rsid w:val="29567BFF"/>
    <w:rsid w:val="295F5B00"/>
    <w:rsid w:val="2973086F"/>
    <w:rsid w:val="298C02A2"/>
    <w:rsid w:val="29934A6D"/>
    <w:rsid w:val="29980BDA"/>
    <w:rsid w:val="29A0362E"/>
    <w:rsid w:val="29AA3515"/>
    <w:rsid w:val="29C25353"/>
    <w:rsid w:val="29CD4DD1"/>
    <w:rsid w:val="29D62BAC"/>
    <w:rsid w:val="29D86924"/>
    <w:rsid w:val="29ED6BDD"/>
    <w:rsid w:val="29EF3D8C"/>
    <w:rsid w:val="29FA073B"/>
    <w:rsid w:val="2A042187"/>
    <w:rsid w:val="2A1B0BED"/>
    <w:rsid w:val="2A200E38"/>
    <w:rsid w:val="2A341583"/>
    <w:rsid w:val="2A431C41"/>
    <w:rsid w:val="2A445BEE"/>
    <w:rsid w:val="2A4912BC"/>
    <w:rsid w:val="2A500BB0"/>
    <w:rsid w:val="2A5341FD"/>
    <w:rsid w:val="2A554419"/>
    <w:rsid w:val="2A5A1A2F"/>
    <w:rsid w:val="2A602202"/>
    <w:rsid w:val="2A6237E6"/>
    <w:rsid w:val="2A665D56"/>
    <w:rsid w:val="2A797E51"/>
    <w:rsid w:val="2A7FF3BA"/>
    <w:rsid w:val="2A85159C"/>
    <w:rsid w:val="2A97058D"/>
    <w:rsid w:val="2AA1533C"/>
    <w:rsid w:val="2AC670C5"/>
    <w:rsid w:val="2ACB0237"/>
    <w:rsid w:val="2B004385"/>
    <w:rsid w:val="2B033E75"/>
    <w:rsid w:val="2B0674C1"/>
    <w:rsid w:val="2B1716CE"/>
    <w:rsid w:val="2B26670B"/>
    <w:rsid w:val="2B353322"/>
    <w:rsid w:val="2B37239C"/>
    <w:rsid w:val="2B3D7387"/>
    <w:rsid w:val="2B3E6C5B"/>
    <w:rsid w:val="2B5400F2"/>
    <w:rsid w:val="2B617885"/>
    <w:rsid w:val="2B697E6E"/>
    <w:rsid w:val="2B6A63EC"/>
    <w:rsid w:val="2B7348A5"/>
    <w:rsid w:val="2B892C7C"/>
    <w:rsid w:val="2B94791E"/>
    <w:rsid w:val="2BA50E41"/>
    <w:rsid w:val="2BB9468C"/>
    <w:rsid w:val="2BBE7D9C"/>
    <w:rsid w:val="2BC2163A"/>
    <w:rsid w:val="2BC51EC5"/>
    <w:rsid w:val="2BD55811"/>
    <w:rsid w:val="2BD73CFD"/>
    <w:rsid w:val="2C0A4E6A"/>
    <w:rsid w:val="2C111901"/>
    <w:rsid w:val="2C155109"/>
    <w:rsid w:val="2C163734"/>
    <w:rsid w:val="2C2422F5"/>
    <w:rsid w:val="2C2474F0"/>
    <w:rsid w:val="2C2A71DF"/>
    <w:rsid w:val="2C3562B0"/>
    <w:rsid w:val="2C372028"/>
    <w:rsid w:val="2C41042A"/>
    <w:rsid w:val="2C5B3F43"/>
    <w:rsid w:val="2C642FEA"/>
    <w:rsid w:val="2C6827D5"/>
    <w:rsid w:val="2C6B0F62"/>
    <w:rsid w:val="2C6F14EE"/>
    <w:rsid w:val="2C882884"/>
    <w:rsid w:val="2C892158"/>
    <w:rsid w:val="2C8965FC"/>
    <w:rsid w:val="2C8F2CCE"/>
    <w:rsid w:val="2C9C632F"/>
    <w:rsid w:val="2CB71165"/>
    <w:rsid w:val="2CC7543A"/>
    <w:rsid w:val="2CCF5161"/>
    <w:rsid w:val="2D051C58"/>
    <w:rsid w:val="2D067C4C"/>
    <w:rsid w:val="2D0D0C0E"/>
    <w:rsid w:val="2D2B30FF"/>
    <w:rsid w:val="2D546C0A"/>
    <w:rsid w:val="2D5B7F98"/>
    <w:rsid w:val="2D614E83"/>
    <w:rsid w:val="2D6D7CCB"/>
    <w:rsid w:val="2D8017AD"/>
    <w:rsid w:val="2DAA375A"/>
    <w:rsid w:val="2DD077B2"/>
    <w:rsid w:val="2DF301D1"/>
    <w:rsid w:val="2E183793"/>
    <w:rsid w:val="2E1B3283"/>
    <w:rsid w:val="2E1E4B22"/>
    <w:rsid w:val="2E220AB6"/>
    <w:rsid w:val="2E362C91"/>
    <w:rsid w:val="2E433D29"/>
    <w:rsid w:val="2E546827"/>
    <w:rsid w:val="2E5C2311"/>
    <w:rsid w:val="2E615CCD"/>
    <w:rsid w:val="2E727BB5"/>
    <w:rsid w:val="2E976DAE"/>
    <w:rsid w:val="2EA35514"/>
    <w:rsid w:val="2EB17CF3"/>
    <w:rsid w:val="2EDF60B9"/>
    <w:rsid w:val="2EF04710"/>
    <w:rsid w:val="2EF97A69"/>
    <w:rsid w:val="2F155F25"/>
    <w:rsid w:val="2F3445FD"/>
    <w:rsid w:val="2F37730B"/>
    <w:rsid w:val="2F4A02C4"/>
    <w:rsid w:val="2F634EE2"/>
    <w:rsid w:val="2F7C41F6"/>
    <w:rsid w:val="2F827A5E"/>
    <w:rsid w:val="2F8A6913"/>
    <w:rsid w:val="2F940B9B"/>
    <w:rsid w:val="2F9D35C4"/>
    <w:rsid w:val="2FAC3D7D"/>
    <w:rsid w:val="2FAF6379"/>
    <w:rsid w:val="2FB83480"/>
    <w:rsid w:val="2FBE65BC"/>
    <w:rsid w:val="2FCF2577"/>
    <w:rsid w:val="2FE364D9"/>
    <w:rsid w:val="2FF11F73"/>
    <w:rsid w:val="2FF6EBD2"/>
    <w:rsid w:val="300761B5"/>
    <w:rsid w:val="301E2414"/>
    <w:rsid w:val="302610FC"/>
    <w:rsid w:val="303E132E"/>
    <w:rsid w:val="30403475"/>
    <w:rsid w:val="3043586B"/>
    <w:rsid w:val="304C5976"/>
    <w:rsid w:val="3058256D"/>
    <w:rsid w:val="305A38D0"/>
    <w:rsid w:val="306E648F"/>
    <w:rsid w:val="30766E97"/>
    <w:rsid w:val="309243C0"/>
    <w:rsid w:val="309D2676"/>
    <w:rsid w:val="30A47610"/>
    <w:rsid w:val="30B71989"/>
    <w:rsid w:val="30C46588"/>
    <w:rsid w:val="30D03962"/>
    <w:rsid w:val="30E33504"/>
    <w:rsid w:val="30F4201C"/>
    <w:rsid w:val="30F524B2"/>
    <w:rsid w:val="30F7500B"/>
    <w:rsid w:val="30FC288E"/>
    <w:rsid w:val="30FF4B22"/>
    <w:rsid w:val="310B6BF3"/>
    <w:rsid w:val="312B3B23"/>
    <w:rsid w:val="312B3FDA"/>
    <w:rsid w:val="314B12AF"/>
    <w:rsid w:val="31501496"/>
    <w:rsid w:val="31532D34"/>
    <w:rsid w:val="315C727B"/>
    <w:rsid w:val="31666F0B"/>
    <w:rsid w:val="316B4522"/>
    <w:rsid w:val="316D0BA9"/>
    <w:rsid w:val="31A627B9"/>
    <w:rsid w:val="31A62D61"/>
    <w:rsid w:val="31C9211B"/>
    <w:rsid w:val="31DD64FD"/>
    <w:rsid w:val="31EB31CE"/>
    <w:rsid w:val="31F60A7B"/>
    <w:rsid w:val="31F938DC"/>
    <w:rsid w:val="31FC517A"/>
    <w:rsid w:val="32024E86"/>
    <w:rsid w:val="32075FF9"/>
    <w:rsid w:val="321A7A9C"/>
    <w:rsid w:val="32236C2E"/>
    <w:rsid w:val="32326DEE"/>
    <w:rsid w:val="32432DA9"/>
    <w:rsid w:val="32496611"/>
    <w:rsid w:val="32607DFF"/>
    <w:rsid w:val="3281224F"/>
    <w:rsid w:val="329B2BE5"/>
    <w:rsid w:val="329E6B50"/>
    <w:rsid w:val="329F256E"/>
    <w:rsid w:val="329F32EA"/>
    <w:rsid w:val="32BB5035"/>
    <w:rsid w:val="32C43EEA"/>
    <w:rsid w:val="32C4706E"/>
    <w:rsid w:val="32C65EB4"/>
    <w:rsid w:val="32EB0B99"/>
    <w:rsid w:val="32EE540A"/>
    <w:rsid w:val="32F50547"/>
    <w:rsid w:val="32FFDD86"/>
    <w:rsid w:val="33154745"/>
    <w:rsid w:val="331704BD"/>
    <w:rsid w:val="33265EB1"/>
    <w:rsid w:val="332A5CC2"/>
    <w:rsid w:val="3330332D"/>
    <w:rsid w:val="3332198B"/>
    <w:rsid w:val="333D443C"/>
    <w:rsid w:val="333F4E52"/>
    <w:rsid w:val="335A65FC"/>
    <w:rsid w:val="335A7075"/>
    <w:rsid w:val="335D7410"/>
    <w:rsid w:val="336D3EA4"/>
    <w:rsid w:val="33835B53"/>
    <w:rsid w:val="3384586B"/>
    <w:rsid w:val="33951EF8"/>
    <w:rsid w:val="339A10EE"/>
    <w:rsid w:val="33A342A9"/>
    <w:rsid w:val="33AC6E70"/>
    <w:rsid w:val="33B66E47"/>
    <w:rsid w:val="33C64EB5"/>
    <w:rsid w:val="33D44600"/>
    <w:rsid w:val="33DC674E"/>
    <w:rsid w:val="33E107F3"/>
    <w:rsid w:val="33EC6C5A"/>
    <w:rsid w:val="33F22CD8"/>
    <w:rsid w:val="33FE78CF"/>
    <w:rsid w:val="340622E0"/>
    <w:rsid w:val="34316ACF"/>
    <w:rsid w:val="343E641F"/>
    <w:rsid w:val="344468FB"/>
    <w:rsid w:val="34526541"/>
    <w:rsid w:val="3464195E"/>
    <w:rsid w:val="34822F8B"/>
    <w:rsid w:val="34897199"/>
    <w:rsid w:val="34924BC9"/>
    <w:rsid w:val="349879D5"/>
    <w:rsid w:val="34AF1476"/>
    <w:rsid w:val="34C74165"/>
    <w:rsid w:val="34E00D83"/>
    <w:rsid w:val="34E751DD"/>
    <w:rsid w:val="34E87837"/>
    <w:rsid w:val="34E924AB"/>
    <w:rsid w:val="34EB5A9A"/>
    <w:rsid w:val="34F860CC"/>
    <w:rsid w:val="35066A3B"/>
    <w:rsid w:val="352A04E7"/>
    <w:rsid w:val="352B4F28"/>
    <w:rsid w:val="352F64C7"/>
    <w:rsid w:val="3532618A"/>
    <w:rsid w:val="35351167"/>
    <w:rsid w:val="353C7D87"/>
    <w:rsid w:val="35615866"/>
    <w:rsid w:val="358A409C"/>
    <w:rsid w:val="35A57EBA"/>
    <w:rsid w:val="35BC17F0"/>
    <w:rsid w:val="35BD97F0"/>
    <w:rsid w:val="35BF6BEA"/>
    <w:rsid w:val="35C012AA"/>
    <w:rsid w:val="35C249F4"/>
    <w:rsid w:val="35D17237"/>
    <w:rsid w:val="35F30AB5"/>
    <w:rsid w:val="35FC3D7E"/>
    <w:rsid w:val="362058DB"/>
    <w:rsid w:val="36246BDF"/>
    <w:rsid w:val="363932F5"/>
    <w:rsid w:val="363D4FB8"/>
    <w:rsid w:val="363D6170"/>
    <w:rsid w:val="36446039"/>
    <w:rsid w:val="36525CB0"/>
    <w:rsid w:val="36570DD6"/>
    <w:rsid w:val="36590DED"/>
    <w:rsid w:val="367125DA"/>
    <w:rsid w:val="36760F87"/>
    <w:rsid w:val="36873BAC"/>
    <w:rsid w:val="36973B48"/>
    <w:rsid w:val="36AF6603"/>
    <w:rsid w:val="36B87D9D"/>
    <w:rsid w:val="36C4095C"/>
    <w:rsid w:val="36C546D4"/>
    <w:rsid w:val="36D528EF"/>
    <w:rsid w:val="37205FF6"/>
    <w:rsid w:val="372633C5"/>
    <w:rsid w:val="374E46CA"/>
    <w:rsid w:val="37602480"/>
    <w:rsid w:val="376676D7"/>
    <w:rsid w:val="377C4D93"/>
    <w:rsid w:val="37865C12"/>
    <w:rsid w:val="379876F3"/>
    <w:rsid w:val="379A16BD"/>
    <w:rsid w:val="379F45EE"/>
    <w:rsid w:val="37CD1A92"/>
    <w:rsid w:val="37CE6DD4"/>
    <w:rsid w:val="37E06FFE"/>
    <w:rsid w:val="37F907C2"/>
    <w:rsid w:val="3832770C"/>
    <w:rsid w:val="383907FA"/>
    <w:rsid w:val="383B1F8D"/>
    <w:rsid w:val="384855BD"/>
    <w:rsid w:val="38575800"/>
    <w:rsid w:val="386027CC"/>
    <w:rsid w:val="38624A88"/>
    <w:rsid w:val="38664899"/>
    <w:rsid w:val="386C12AB"/>
    <w:rsid w:val="38A670D3"/>
    <w:rsid w:val="38AC5B4C"/>
    <w:rsid w:val="38AE714C"/>
    <w:rsid w:val="38B1729A"/>
    <w:rsid w:val="38B60778"/>
    <w:rsid w:val="38DC3EDC"/>
    <w:rsid w:val="38FA68B7"/>
    <w:rsid w:val="38FB98C4"/>
    <w:rsid w:val="38FF20BA"/>
    <w:rsid w:val="391B4A7F"/>
    <w:rsid w:val="39202096"/>
    <w:rsid w:val="393618B9"/>
    <w:rsid w:val="393873DF"/>
    <w:rsid w:val="39394B01"/>
    <w:rsid w:val="394D26E1"/>
    <w:rsid w:val="396E2E01"/>
    <w:rsid w:val="39777F08"/>
    <w:rsid w:val="39874323"/>
    <w:rsid w:val="39987E7E"/>
    <w:rsid w:val="3999642E"/>
    <w:rsid w:val="39A64349"/>
    <w:rsid w:val="39A700C1"/>
    <w:rsid w:val="39B62C55"/>
    <w:rsid w:val="39C03AB0"/>
    <w:rsid w:val="39CD5D7A"/>
    <w:rsid w:val="39D62E7E"/>
    <w:rsid w:val="39D709A6"/>
    <w:rsid w:val="39F50E2C"/>
    <w:rsid w:val="39F63BBE"/>
    <w:rsid w:val="3A0B0091"/>
    <w:rsid w:val="3A0B7AD3"/>
    <w:rsid w:val="3A127C30"/>
    <w:rsid w:val="3A241712"/>
    <w:rsid w:val="3A30455A"/>
    <w:rsid w:val="3A47599D"/>
    <w:rsid w:val="3A573895"/>
    <w:rsid w:val="3A6477A9"/>
    <w:rsid w:val="3A7E52C6"/>
    <w:rsid w:val="3A950543"/>
    <w:rsid w:val="3A9E7716"/>
    <w:rsid w:val="3AA23F47"/>
    <w:rsid w:val="3AAA1C17"/>
    <w:rsid w:val="3ABE2449"/>
    <w:rsid w:val="3ACF05DF"/>
    <w:rsid w:val="3AD849D6"/>
    <w:rsid w:val="3ADA56C8"/>
    <w:rsid w:val="3AE35129"/>
    <w:rsid w:val="3AF37A62"/>
    <w:rsid w:val="3B00217F"/>
    <w:rsid w:val="3B00310D"/>
    <w:rsid w:val="3B082DE1"/>
    <w:rsid w:val="3B20012B"/>
    <w:rsid w:val="3B2509B2"/>
    <w:rsid w:val="3B290BEA"/>
    <w:rsid w:val="3B2A60E9"/>
    <w:rsid w:val="3B3360B0"/>
    <w:rsid w:val="3B4007CD"/>
    <w:rsid w:val="3B4E2EEA"/>
    <w:rsid w:val="3B506A3A"/>
    <w:rsid w:val="3B561D9F"/>
    <w:rsid w:val="3B5B2B94"/>
    <w:rsid w:val="3B7566C9"/>
    <w:rsid w:val="3B7641EF"/>
    <w:rsid w:val="3B792ECF"/>
    <w:rsid w:val="3B81793A"/>
    <w:rsid w:val="3B827166"/>
    <w:rsid w:val="3B855DC3"/>
    <w:rsid w:val="3B9052B1"/>
    <w:rsid w:val="3B974891"/>
    <w:rsid w:val="3B9D279F"/>
    <w:rsid w:val="3BB16FD5"/>
    <w:rsid w:val="3BBA0580"/>
    <w:rsid w:val="3BBE18BD"/>
    <w:rsid w:val="3BD056AD"/>
    <w:rsid w:val="3BD21711"/>
    <w:rsid w:val="3BD54987"/>
    <w:rsid w:val="3BD80F0D"/>
    <w:rsid w:val="3BDA2944"/>
    <w:rsid w:val="3BDB85C8"/>
    <w:rsid w:val="3BE467D1"/>
    <w:rsid w:val="3BFF8581"/>
    <w:rsid w:val="3C1C38AF"/>
    <w:rsid w:val="3C1C4D96"/>
    <w:rsid w:val="3C215F09"/>
    <w:rsid w:val="3C230959"/>
    <w:rsid w:val="3C233840"/>
    <w:rsid w:val="3C31001D"/>
    <w:rsid w:val="3C3A6AB5"/>
    <w:rsid w:val="3C4165AB"/>
    <w:rsid w:val="3C4B11D8"/>
    <w:rsid w:val="3C5706AA"/>
    <w:rsid w:val="3C641CA7"/>
    <w:rsid w:val="3C676D43"/>
    <w:rsid w:val="3C6D55F2"/>
    <w:rsid w:val="3C6F5B2F"/>
    <w:rsid w:val="3C7249B6"/>
    <w:rsid w:val="3C926E07"/>
    <w:rsid w:val="3CAA4DD1"/>
    <w:rsid w:val="3CAD59EE"/>
    <w:rsid w:val="3CB26F41"/>
    <w:rsid w:val="3CC17DD4"/>
    <w:rsid w:val="3CC22338"/>
    <w:rsid w:val="3CDC4526"/>
    <w:rsid w:val="3CDD2778"/>
    <w:rsid w:val="3CDE204C"/>
    <w:rsid w:val="3CE277AA"/>
    <w:rsid w:val="3CE8111C"/>
    <w:rsid w:val="3CEA279F"/>
    <w:rsid w:val="3CF46FDB"/>
    <w:rsid w:val="3D0E6ACF"/>
    <w:rsid w:val="3D0F157F"/>
    <w:rsid w:val="3D123AC2"/>
    <w:rsid w:val="3D380640"/>
    <w:rsid w:val="3D42082D"/>
    <w:rsid w:val="3D5F3C0A"/>
    <w:rsid w:val="3D6320AE"/>
    <w:rsid w:val="3D7737D1"/>
    <w:rsid w:val="3D7F382F"/>
    <w:rsid w:val="3D8F31BA"/>
    <w:rsid w:val="3D9B4E64"/>
    <w:rsid w:val="3D9F51E0"/>
    <w:rsid w:val="3D9F76BF"/>
    <w:rsid w:val="3DA70690"/>
    <w:rsid w:val="3DAE6EE2"/>
    <w:rsid w:val="3DC54FBA"/>
    <w:rsid w:val="3DFB09DB"/>
    <w:rsid w:val="3DFD6502"/>
    <w:rsid w:val="3E004C1A"/>
    <w:rsid w:val="3E0205C4"/>
    <w:rsid w:val="3E0C3BB5"/>
    <w:rsid w:val="3E12336F"/>
    <w:rsid w:val="3E154BCF"/>
    <w:rsid w:val="3E342BCE"/>
    <w:rsid w:val="3E3A37E1"/>
    <w:rsid w:val="3E3D1B80"/>
    <w:rsid w:val="3E4C39D8"/>
    <w:rsid w:val="3E6432A1"/>
    <w:rsid w:val="3E6842C3"/>
    <w:rsid w:val="3E6B3DB3"/>
    <w:rsid w:val="3E90273A"/>
    <w:rsid w:val="3E955132"/>
    <w:rsid w:val="3EA352FB"/>
    <w:rsid w:val="3EA719A5"/>
    <w:rsid w:val="3EA846BF"/>
    <w:rsid w:val="3EAD6F0F"/>
    <w:rsid w:val="3EBE3EE3"/>
    <w:rsid w:val="3EC62D97"/>
    <w:rsid w:val="3ED63A92"/>
    <w:rsid w:val="3ED835C0"/>
    <w:rsid w:val="3ED94E54"/>
    <w:rsid w:val="3EE14075"/>
    <w:rsid w:val="3EE22D6A"/>
    <w:rsid w:val="3EE33949"/>
    <w:rsid w:val="3EF7239A"/>
    <w:rsid w:val="3EF97772"/>
    <w:rsid w:val="3EFF671D"/>
    <w:rsid w:val="3F1A33BE"/>
    <w:rsid w:val="3F2859A4"/>
    <w:rsid w:val="3F2F48E2"/>
    <w:rsid w:val="3F3B3785"/>
    <w:rsid w:val="3F3C7CCF"/>
    <w:rsid w:val="3F5D194E"/>
    <w:rsid w:val="3F6031EC"/>
    <w:rsid w:val="3F6251B6"/>
    <w:rsid w:val="3F7722E4"/>
    <w:rsid w:val="3F7B6278"/>
    <w:rsid w:val="3F8C5D8F"/>
    <w:rsid w:val="3FB86FB3"/>
    <w:rsid w:val="3FBBF901"/>
    <w:rsid w:val="3FC4377B"/>
    <w:rsid w:val="3FCC669D"/>
    <w:rsid w:val="3FD00372"/>
    <w:rsid w:val="3FD753EE"/>
    <w:rsid w:val="3FD80FD4"/>
    <w:rsid w:val="3FDD241B"/>
    <w:rsid w:val="3FDD483D"/>
    <w:rsid w:val="3FDFE60B"/>
    <w:rsid w:val="3FE07E89"/>
    <w:rsid w:val="3FE69656"/>
    <w:rsid w:val="3FEE56A1"/>
    <w:rsid w:val="3FF77793"/>
    <w:rsid w:val="3FFD0A3B"/>
    <w:rsid w:val="3FFF2802"/>
    <w:rsid w:val="40271D55"/>
    <w:rsid w:val="402F22B4"/>
    <w:rsid w:val="405110D6"/>
    <w:rsid w:val="406D6805"/>
    <w:rsid w:val="40740110"/>
    <w:rsid w:val="407A652F"/>
    <w:rsid w:val="407D110C"/>
    <w:rsid w:val="40827192"/>
    <w:rsid w:val="40835244"/>
    <w:rsid w:val="40864ED4"/>
    <w:rsid w:val="408C3992"/>
    <w:rsid w:val="40915918"/>
    <w:rsid w:val="40A05314"/>
    <w:rsid w:val="40B732E0"/>
    <w:rsid w:val="40F71321"/>
    <w:rsid w:val="410A0D78"/>
    <w:rsid w:val="41114D6F"/>
    <w:rsid w:val="41140064"/>
    <w:rsid w:val="411B561D"/>
    <w:rsid w:val="411C3143"/>
    <w:rsid w:val="41200E85"/>
    <w:rsid w:val="41326E0A"/>
    <w:rsid w:val="41361B95"/>
    <w:rsid w:val="41515EEF"/>
    <w:rsid w:val="41526B64"/>
    <w:rsid w:val="41546D80"/>
    <w:rsid w:val="418A27A2"/>
    <w:rsid w:val="418D4040"/>
    <w:rsid w:val="418E2292"/>
    <w:rsid w:val="41970AE1"/>
    <w:rsid w:val="41994793"/>
    <w:rsid w:val="419E624E"/>
    <w:rsid w:val="41A35612"/>
    <w:rsid w:val="41A760C3"/>
    <w:rsid w:val="41AE7C60"/>
    <w:rsid w:val="41B617E9"/>
    <w:rsid w:val="41C37A62"/>
    <w:rsid w:val="41CC6917"/>
    <w:rsid w:val="41CD4939"/>
    <w:rsid w:val="41CE08E1"/>
    <w:rsid w:val="41D35EF7"/>
    <w:rsid w:val="41E87DEF"/>
    <w:rsid w:val="41F1637D"/>
    <w:rsid w:val="420A5691"/>
    <w:rsid w:val="421C7965"/>
    <w:rsid w:val="422619BB"/>
    <w:rsid w:val="423A7D24"/>
    <w:rsid w:val="42436F8A"/>
    <w:rsid w:val="425410BD"/>
    <w:rsid w:val="426B3072"/>
    <w:rsid w:val="426D63FE"/>
    <w:rsid w:val="428F6994"/>
    <w:rsid w:val="42957651"/>
    <w:rsid w:val="4297632A"/>
    <w:rsid w:val="429E4757"/>
    <w:rsid w:val="42A15FF5"/>
    <w:rsid w:val="42AB29D0"/>
    <w:rsid w:val="42AF2182"/>
    <w:rsid w:val="42B21705"/>
    <w:rsid w:val="42D31F27"/>
    <w:rsid w:val="42D55690"/>
    <w:rsid w:val="42DE3E28"/>
    <w:rsid w:val="42DF22D8"/>
    <w:rsid w:val="430B0D34"/>
    <w:rsid w:val="43192CF2"/>
    <w:rsid w:val="431C567C"/>
    <w:rsid w:val="432D2509"/>
    <w:rsid w:val="433E2C7E"/>
    <w:rsid w:val="434075BC"/>
    <w:rsid w:val="43421586"/>
    <w:rsid w:val="434370AD"/>
    <w:rsid w:val="43470AA6"/>
    <w:rsid w:val="434F15AD"/>
    <w:rsid w:val="436E5EB8"/>
    <w:rsid w:val="437466E4"/>
    <w:rsid w:val="43900783"/>
    <w:rsid w:val="43947392"/>
    <w:rsid w:val="439971FA"/>
    <w:rsid w:val="43A833B4"/>
    <w:rsid w:val="43AC4C52"/>
    <w:rsid w:val="43AF64F0"/>
    <w:rsid w:val="43B42418"/>
    <w:rsid w:val="43BD6E5F"/>
    <w:rsid w:val="43C33D49"/>
    <w:rsid w:val="43D16909"/>
    <w:rsid w:val="43F213F1"/>
    <w:rsid w:val="43F41FD8"/>
    <w:rsid w:val="43FD1DA6"/>
    <w:rsid w:val="44006D4C"/>
    <w:rsid w:val="440209A9"/>
    <w:rsid w:val="441B3B85"/>
    <w:rsid w:val="443C7F5E"/>
    <w:rsid w:val="444B19C8"/>
    <w:rsid w:val="446C30C9"/>
    <w:rsid w:val="44774926"/>
    <w:rsid w:val="448B0BED"/>
    <w:rsid w:val="449B01B0"/>
    <w:rsid w:val="44B95E1F"/>
    <w:rsid w:val="44D65FFB"/>
    <w:rsid w:val="44DE708D"/>
    <w:rsid w:val="44F16CA0"/>
    <w:rsid w:val="44FC290E"/>
    <w:rsid w:val="45061A4C"/>
    <w:rsid w:val="45237196"/>
    <w:rsid w:val="45244CBC"/>
    <w:rsid w:val="452B268D"/>
    <w:rsid w:val="4535500F"/>
    <w:rsid w:val="457271D8"/>
    <w:rsid w:val="457C68A6"/>
    <w:rsid w:val="457F1EF2"/>
    <w:rsid w:val="45857508"/>
    <w:rsid w:val="458D79D2"/>
    <w:rsid w:val="459E4D98"/>
    <w:rsid w:val="45F66658"/>
    <w:rsid w:val="46115240"/>
    <w:rsid w:val="461A0599"/>
    <w:rsid w:val="461B60BF"/>
    <w:rsid w:val="46362EF9"/>
    <w:rsid w:val="463E3F42"/>
    <w:rsid w:val="4649255C"/>
    <w:rsid w:val="464A30E5"/>
    <w:rsid w:val="46765CB1"/>
    <w:rsid w:val="467E27F8"/>
    <w:rsid w:val="46841EBD"/>
    <w:rsid w:val="46843C64"/>
    <w:rsid w:val="46883812"/>
    <w:rsid w:val="46974134"/>
    <w:rsid w:val="469C746C"/>
    <w:rsid w:val="46B10E38"/>
    <w:rsid w:val="46B651A1"/>
    <w:rsid w:val="46CA433A"/>
    <w:rsid w:val="46EB19AA"/>
    <w:rsid w:val="46F245F5"/>
    <w:rsid w:val="470114A9"/>
    <w:rsid w:val="47113E40"/>
    <w:rsid w:val="47120309"/>
    <w:rsid w:val="472015A9"/>
    <w:rsid w:val="47234906"/>
    <w:rsid w:val="47354BD4"/>
    <w:rsid w:val="473632F0"/>
    <w:rsid w:val="474C3E81"/>
    <w:rsid w:val="474E4E09"/>
    <w:rsid w:val="475D6A59"/>
    <w:rsid w:val="477D2D36"/>
    <w:rsid w:val="47867568"/>
    <w:rsid w:val="479A733C"/>
    <w:rsid w:val="479D7445"/>
    <w:rsid w:val="47A00374"/>
    <w:rsid w:val="47A27E30"/>
    <w:rsid w:val="47BA490B"/>
    <w:rsid w:val="47CF53B3"/>
    <w:rsid w:val="47DF5D98"/>
    <w:rsid w:val="47E57A30"/>
    <w:rsid w:val="47E66258"/>
    <w:rsid w:val="480014B3"/>
    <w:rsid w:val="48083249"/>
    <w:rsid w:val="480E7A25"/>
    <w:rsid w:val="48180B08"/>
    <w:rsid w:val="48483421"/>
    <w:rsid w:val="484E4529"/>
    <w:rsid w:val="48531B40"/>
    <w:rsid w:val="485D476D"/>
    <w:rsid w:val="485D6071"/>
    <w:rsid w:val="48614BFD"/>
    <w:rsid w:val="487B4BF3"/>
    <w:rsid w:val="48B1532F"/>
    <w:rsid w:val="48B73AEB"/>
    <w:rsid w:val="48C26B67"/>
    <w:rsid w:val="48C81442"/>
    <w:rsid w:val="48E85B1A"/>
    <w:rsid w:val="48F051D0"/>
    <w:rsid w:val="490168B9"/>
    <w:rsid w:val="49080B7C"/>
    <w:rsid w:val="49465201"/>
    <w:rsid w:val="494E3636"/>
    <w:rsid w:val="49523359"/>
    <w:rsid w:val="496E7D41"/>
    <w:rsid w:val="498A4BF8"/>
    <w:rsid w:val="49997A26"/>
    <w:rsid w:val="49A62143"/>
    <w:rsid w:val="49C36851"/>
    <w:rsid w:val="49D36A87"/>
    <w:rsid w:val="49DE06CA"/>
    <w:rsid w:val="49EF3AEA"/>
    <w:rsid w:val="49EF5898"/>
    <w:rsid w:val="4A034605"/>
    <w:rsid w:val="4A1B40A3"/>
    <w:rsid w:val="4A301681"/>
    <w:rsid w:val="4A314103"/>
    <w:rsid w:val="4A396B13"/>
    <w:rsid w:val="4A3D7F21"/>
    <w:rsid w:val="4A5E4C5F"/>
    <w:rsid w:val="4A6F3D98"/>
    <w:rsid w:val="4A8E5FA5"/>
    <w:rsid w:val="4A9560CC"/>
    <w:rsid w:val="4AA04DE4"/>
    <w:rsid w:val="4ABD14F2"/>
    <w:rsid w:val="4AC37F0A"/>
    <w:rsid w:val="4AC408E4"/>
    <w:rsid w:val="4ACC3E2B"/>
    <w:rsid w:val="4ADD3943"/>
    <w:rsid w:val="4AE5022F"/>
    <w:rsid w:val="4AE7656F"/>
    <w:rsid w:val="4AF313B8"/>
    <w:rsid w:val="4AFC64BF"/>
    <w:rsid w:val="4AFD3FE5"/>
    <w:rsid w:val="4AFE15E2"/>
    <w:rsid w:val="4B272E10"/>
    <w:rsid w:val="4B4E4840"/>
    <w:rsid w:val="4B582E12"/>
    <w:rsid w:val="4B59382B"/>
    <w:rsid w:val="4B713354"/>
    <w:rsid w:val="4B74348F"/>
    <w:rsid w:val="4B7778F3"/>
    <w:rsid w:val="4B79502C"/>
    <w:rsid w:val="4B8169C4"/>
    <w:rsid w:val="4B9761E7"/>
    <w:rsid w:val="4BA60AB1"/>
    <w:rsid w:val="4BA95231"/>
    <w:rsid w:val="4BAF1783"/>
    <w:rsid w:val="4BB2670B"/>
    <w:rsid w:val="4BB365B5"/>
    <w:rsid w:val="4BC114B6"/>
    <w:rsid w:val="4BCB7C3F"/>
    <w:rsid w:val="4BE34546"/>
    <w:rsid w:val="4BE76F02"/>
    <w:rsid w:val="4BEB02E1"/>
    <w:rsid w:val="4BF37AF5"/>
    <w:rsid w:val="4BF43ADF"/>
    <w:rsid w:val="4BF60521"/>
    <w:rsid w:val="4BF74ED8"/>
    <w:rsid w:val="4BF94C2F"/>
    <w:rsid w:val="4C0220AA"/>
    <w:rsid w:val="4C0575F5"/>
    <w:rsid w:val="4C0C0983"/>
    <w:rsid w:val="4C2832E3"/>
    <w:rsid w:val="4C40062D"/>
    <w:rsid w:val="4C545E87"/>
    <w:rsid w:val="4C5A0B23"/>
    <w:rsid w:val="4C5F53EA"/>
    <w:rsid w:val="4C6A56AA"/>
    <w:rsid w:val="4C906769"/>
    <w:rsid w:val="4CA666C3"/>
    <w:rsid w:val="4CA842B1"/>
    <w:rsid w:val="4CA961D2"/>
    <w:rsid w:val="4CB44B77"/>
    <w:rsid w:val="4CD55FF3"/>
    <w:rsid w:val="4CE40E7D"/>
    <w:rsid w:val="4CE74F4D"/>
    <w:rsid w:val="4CF07945"/>
    <w:rsid w:val="4D1473C4"/>
    <w:rsid w:val="4D1A2C2C"/>
    <w:rsid w:val="4D1D07FC"/>
    <w:rsid w:val="4D2E2B7B"/>
    <w:rsid w:val="4D346504"/>
    <w:rsid w:val="4D3B0DF4"/>
    <w:rsid w:val="4D5A30B2"/>
    <w:rsid w:val="4D61085B"/>
    <w:rsid w:val="4D96420E"/>
    <w:rsid w:val="4DB20189"/>
    <w:rsid w:val="4DB35167"/>
    <w:rsid w:val="4DDF102B"/>
    <w:rsid w:val="4DE33966"/>
    <w:rsid w:val="4DE96C85"/>
    <w:rsid w:val="4DEB6377"/>
    <w:rsid w:val="4DEF7282"/>
    <w:rsid w:val="4E077171"/>
    <w:rsid w:val="4E1844A1"/>
    <w:rsid w:val="4E1C6E78"/>
    <w:rsid w:val="4E376C89"/>
    <w:rsid w:val="4E4468A4"/>
    <w:rsid w:val="4E5B75AC"/>
    <w:rsid w:val="4E5E1120"/>
    <w:rsid w:val="4E9208C3"/>
    <w:rsid w:val="4EA62829"/>
    <w:rsid w:val="4ECB7FBD"/>
    <w:rsid w:val="4ED60DD5"/>
    <w:rsid w:val="4EDD2163"/>
    <w:rsid w:val="4EDE6657"/>
    <w:rsid w:val="4EFB6C2C"/>
    <w:rsid w:val="4EFE20DA"/>
    <w:rsid w:val="4F0A0AD1"/>
    <w:rsid w:val="4F0C76FA"/>
    <w:rsid w:val="4F165675"/>
    <w:rsid w:val="4F212F50"/>
    <w:rsid w:val="4F226DC8"/>
    <w:rsid w:val="4F234ACC"/>
    <w:rsid w:val="4F2A7373"/>
    <w:rsid w:val="4F2E053D"/>
    <w:rsid w:val="4F3E697A"/>
    <w:rsid w:val="4F493C9D"/>
    <w:rsid w:val="4F5C1026"/>
    <w:rsid w:val="4F5D14F6"/>
    <w:rsid w:val="4F5E53C7"/>
    <w:rsid w:val="4F6351A5"/>
    <w:rsid w:val="4F7EFCB4"/>
    <w:rsid w:val="4F7F44DF"/>
    <w:rsid w:val="4F854876"/>
    <w:rsid w:val="4F912F4E"/>
    <w:rsid w:val="4F97DF70"/>
    <w:rsid w:val="4FA71C3F"/>
    <w:rsid w:val="4FAE5BAC"/>
    <w:rsid w:val="4FAFE9B1"/>
    <w:rsid w:val="4FB01626"/>
    <w:rsid w:val="4FB11910"/>
    <w:rsid w:val="4FB84E80"/>
    <w:rsid w:val="4FB854F8"/>
    <w:rsid w:val="4FBA3692"/>
    <w:rsid w:val="4FDC1ACA"/>
    <w:rsid w:val="4FE16F9A"/>
    <w:rsid w:val="4FE985C7"/>
    <w:rsid w:val="4FF30059"/>
    <w:rsid w:val="500C08AC"/>
    <w:rsid w:val="500E56FC"/>
    <w:rsid w:val="501C6CBB"/>
    <w:rsid w:val="501F0559"/>
    <w:rsid w:val="502703FE"/>
    <w:rsid w:val="503C0DF6"/>
    <w:rsid w:val="50435400"/>
    <w:rsid w:val="5043693E"/>
    <w:rsid w:val="505C668F"/>
    <w:rsid w:val="50601F36"/>
    <w:rsid w:val="507329BF"/>
    <w:rsid w:val="507D1BB6"/>
    <w:rsid w:val="50811214"/>
    <w:rsid w:val="50964CC0"/>
    <w:rsid w:val="50AB003F"/>
    <w:rsid w:val="50B36711"/>
    <w:rsid w:val="50D25854"/>
    <w:rsid w:val="50D852D8"/>
    <w:rsid w:val="50FE0AB7"/>
    <w:rsid w:val="51042AC7"/>
    <w:rsid w:val="51085492"/>
    <w:rsid w:val="510A120A"/>
    <w:rsid w:val="512978E2"/>
    <w:rsid w:val="51346847"/>
    <w:rsid w:val="51475669"/>
    <w:rsid w:val="514A5AAA"/>
    <w:rsid w:val="515D758B"/>
    <w:rsid w:val="5161537B"/>
    <w:rsid w:val="51624BA2"/>
    <w:rsid w:val="51655FC2"/>
    <w:rsid w:val="516C5CF7"/>
    <w:rsid w:val="517174DB"/>
    <w:rsid w:val="51770F71"/>
    <w:rsid w:val="517B1124"/>
    <w:rsid w:val="51867B3E"/>
    <w:rsid w:val="51956D25"/>
    <w:rsid w:val="51987112"/>
    <w:rsid w:val="519D3E2C"/>
    <w:rsid w:val="519D660F"/>
    <w:rsid w:val="51A575B0"/>
    <w:rsid w:val="51B5605F"/>
    <w:rsid w:val="51C25FE7"/>
    <w:rsid w:val="51C969CF"/>
    <w:rsid w:val="51D292DE"/>
    <w:rsid w:val="51D33CF1"/>
    <w:rsid w:val="51FF4AE6"/>
    <w:rsid w:val="51FF6894"/>
    <w:rsid w:val="520774F7"/>
    <w:rsid w:val="520A63D6"/>
    <w:rsid w:val="520C5A74"/>
    <w:rsid w:val="520E24F1"/>
    <w:rsid w:val="521340EE"/>
    <w:rsid w:val="52157A39"/>
    <w:rsid w:val="522E717A"/>
    <w:rsid w:val="523924E1"/>
    <w:rsid w:val="52555BF0"/>
    <w:rsid w:val="525564B4"/>
    <w:rsid w:val="525B75EF"/>
    <w:rsid w:val="526341EB"/>
    <w:rsid w:val="52666914"/>
    <w:rsid w:val="5267529D"/>
    <w:rsid w:val="5272350A"/>
    <w:rsid w:val="52902DFA"/>
    <w:rsid w:val="529B502E"/>
    <w:rsid w:val="52C0323E"/>
    <w:rsid w:val="52C55BC9"/>
    <w:rsid w:val="52CC1C82"/>
    <w:rsid w:val="52DB2E5E"/>
    <w:rsid w:val="52DC2732"/>
    <w:rsid w:val="52E568C3"/>
    <w:rsid w:val="530D2143"/>
    <w:rsid w:val="530E3233"/>
    <w:rsid w:val="53135B7C"/>
    <w:rsid w:val="5314011E"/>
    <w:rsid w:val="53146A66"/>
    <w:rsid w:val="53191BD8"/>
    <w:rsid w:val="53192FFD"/>
    <w:rsid w:val="531C0F71"/>
    <w:rsid w:val="5320466B"/>
    <w:rsid w:val="53302A15"/>
    <w:rsid w:val="53360094"/>
    <w:rsid w:val="5339302E"/>
    <w:rsid w:val="5369210C"/>
    <w:rsid w:val="536B319B"/>
    <w:rsid w:val="536E11E4"/>
    <w:rsid w:val="53755060"/>
    <w:rsid w:val="53764934"/>
    <w:rsid w:val="538A6632"/>
    <w:rsid w:val="539A4AC7"/>
    <w:rsid w:val="53A6051D"/>
    <w:rsid w:val="53AF2171"/>
    <w:rsid w:val="53B37937"/>
    <w:rsid w:val="53B60FA0"/>
    <w:rsid w:val="53B611D5"/>
    <w:rsid w:val="53B92BD0"/>
    <w:rsid w:val="53C27B7A"/>
    <w:rsid w:val="53C300EE"/>
    <w:rsid w:val="53C6405C"/>
    <w:rsid w:val="53E61F03"/>
    <w:rsid w:val="53E81EA7"/>
    <w:rsid w:val="53ED0769"/>
    <w:rsid w:val="53FB0263"/>
    <w:rsid w:val="5406215C"/>
    <w:rsid w:val="5422155A"/>
    <w:rsid w:val="542E6C2A"/>
    <w:rsid w:val="54640C31"/>
    <w:rsid w:val="547215A0"/>
    <w:rsid w:val="549C03CB"/>
    <w:rsid w:val="54A71B6F"/>
    <w:rsid w:val="54A772FA"/>
    <w:rsid w:val="54BE47E5"/>
    <w:rsid w:val="54BE5581"/>
    <w:rsid w:val="54C3413E"/>
    <w:rsid w:val="54C343AC"/>
    <w:rsid w:val="54C53A56"/>
    <w:rsid w:val="54C824D5"/>
    <w:rsid w:val="54E202BD"/>
    <w:rsid w:val="54E3424B"/>
    <w:rsid w:val="54E67898"/>
    <w:rsid w:val="54FE00A1"/>
    <w:rsid w:val="5507618C"/>
    <w:rsid w:val="550C37A2"/>
    <w:rsid w:val="55124B31"/>
    <w:rsid w:val="55195ED1"/>
    <w:rsid w:val="55356592"/>
    <w:rsid w:val="55363B79"/>
    <w:rsid w:val="553757FC"/>
    <w:rsid w:val="553920BD"/>
    <w:rsid w:val="553B086B"/>
    <w:rsid w:val="55523CC0"/>
    <w:rsid w:val="55561A9C"/>
    <w:rsid w:val="55684AE1"/>
    <w:rsid w:val="55690BF5"/>
    <w:rsid w:val="556E259A"/>
    <w:rsid w:val="55741981"/>
    <w:rsid w:val="55886BA1"/>
    <w:rsid w:val="55A0038E"/>
    <w:rsid w:val="55A531BA"/>
    <w:rsid w:val="55A559A5"/>
    <w:rsid w:val="55B00149"/>
    <w:rsid w:val="55D37310"/>
    <w:rsid w:val="55E4027B"/>
    <w:rsid w:val="55F12998"/>
    <w:rsid w:val="55F85AD5"/>
    <w:rsid w:val="56102E1E"/>
    <w:rsid w:val="56113BC9"/>
    <w:rsid w:val="562C774E"/>
    <w:rsid w:val="56323B98"/>
    <w:rsid w:val="563A60ED"/>
    <w:rsid w:val="563F6BD5"/>
    <w:rsid w:val="56491610"/>
    <w:rsid w:val="56567054"/>
    <w:rsid w:val="56572452"/>
    <w:rsid w:val="565E627F"/>
    <w:rsid w:val="565F486A"/>
    <w:rsid w:val="56621F53"/>
    <w:rsid w:val="566500E3"/>
    <w:rsid w:val="566D4FAA"/>
    <w:rsid w:val="566D64C3"/>
    <w:rsid w:val="5677F382"/>
    <w:rsid w:val="568052DE"/>
    <w:rsid w:val="568245C0"/>
    <w:rsid w:val="56867584"/>
    <w:rsid w:val="569C3AE3"/>
    <w:rsid w:val="56AC60A3"/>
    <w:rsid w:val="56AD68BF"/>
    <w:rsid w:val="56AF6ADB"/>
    <w:rsid w:val="56B2576C"/>
    <w:rsid w:val="56B9194B"/>
    <w:rsid w:val="56C33BDD"/>
    <w:rsid w:val="56CB31E9"/>
    <w:rsid w:val="56DA167E"/>
    <w:rsid w:val="56E40324"/>
    <w:rsid w:val="56EE7748"/>
    <w:rsid w:val="56EFBCE7"/>
    <w:rsid w:val="56F79C35"/>
    <w:rsid w:val="571006E4"/>
    <w:rsid w:val="57191362"/>
    <w:rsid w:val="57785D2A"/>
    <w:rsid w:val="57AA1051"/>
    <w:rsid w:val="57E502DB"/>
    <w:rsid w:val="581F559B"/>
    <w:rsid w:val="583D01CF"/>
    <w:rsid w:val="5844151B"/>
    <w:rsid w:val="586475A6"/>
    <w:rsid w:val="58810003"/>
    <w:rsid w:val="5886386C"/>
    <w:rsid w:val="588A3598"/>
    <w:rsid w:val="588D0504"/>
    <w:rsid w:val="58975164"/>
    <w:rsid w:val="58C63C68"/>
    <w:rsid w:val="58D50A2B"/>
    <w:rsid w:val="58DE5456"/>
    <w:rsid w:val="58EB36CF"/>
    <w:rsid w:val="58EC0D07"/>
    <w:rsid w:val="58F702C5"/>
    <w:rsid w:val="591A2160"/>
    <w:rsid w:val="59367040"/>
    <w:rsid w:val="593F501F"/>
    <w:rsid w:val="59401C6C"/>
    <w:rsid w:val="59487733"/>
    <w:rsid w:val="59587D50"/>
    <w:rsid w:val="596949DD"/>
    <w:rsid w:val="59707498"/>
    <w:rsid w:val="597F1167"/>
    <w:rsid w:val="59AC3549"/>
    <w:rsid w:val="59C363FA"/>
    <w:rsid w:val="59C74AA1"/>
    <w:rsid w:val="59D66164"/>
    <w:rsid w:val="59E25784"/>
    <w:rsid w:val="59E60318"/>
    <w:rsid w:val="59EE3177"/>
    <w:rsid w:val="59EF0EB5"/>
    <w:rsid w:val="59F111B9"/>
    <w:rsid w:val="5A0013FC"/>
    <w:rsid w:val="5A1D015B"/>
    <w:rsid w:val="5A3E07A1"/>
    <w:rsid w:val="5A407A4A"/>
    <w:rsid w:val="5A427C66"/>
    <w:rsid w:val="5A4E09B0"/>
    <w:rsid w:val="5A56B2A4"/>
    <w:rsid w:val="5A6A4308"/>
    <w:rsid w:val="5A736072"/>
    <w:rsid w:val="5A7B0A82"/>
    <w:rsid w:val="5A7B6CD4"/>
    <w:rsid w:val="5A876EE7"/>
    <w:rsid w:val="5A975B2D"/>
    <w:rsid w:val="5AA13369"/>
    <w:rsid w:val="5AA44386"/>
    <w:rsid w:val="5AA94A6E"/>
    <w:rsid w:val="5AB05047"/>
    <w:rsid w:val="5ABA15AB"/>
    <w:rsid w:val="5ADC1BBF"/>
    <w:rsid w:val="5AE26D53"/>
    <w:rsid w:val="5AE723C6"/>
    <w:rsid w:val="5AEA041D"/>
    <w:rsid w:val="5AF01470"/>
    <w:rsid w:val="5AF80757"/>
    <w:rsid w:val="5AFD7032"/>
    <w:rsid w:val="5B0C047E"/>
    <w:rsid w:val="5B116199"/>
    <w:rsid w:val="5B1834F7"/>
    <w:rsid w:val="5BB97AB4"/>
    <w:rsid w:val="5BD743DE"/>
    <w:rsid w:val="5BDF6348"/>
    <w:rsid w:val="5BF07EDE"/>
    <w:rsid w:val="5BF24C58"/>
    <w:rsid w:val="5BF60D08"/>
    <w:rsid w:val="5BFD25AF"/>
    <w:rsid w:val="5C0021B9"/>
    <w:rsid w:val="5C0C052C"/>
    <w:rsid w:val="5C237623"/>
    <w:rsid w:val="5C2631A6"/>
    <w:rsid w:val="5C2740AC"/>
    <w:rsid w:val="5C276FB7"/>
    <w:rsid w:val="5C4D4754"/>
    <w:rsid w:val="5C4E644E"/>
    <w:rsid w:val="5C6F429B"/>
    <w:rsid w:val="5C700ABB"/>
    <w:rsid w:val="5C8B0A4D"/>
    <w:rsid w:val="5C9C6B0B"/>
    <w:rsid w:val="5C9D3DA7"/>
    <w:rsid w:val="5CA249EC"/>
    <w:rsid w:val="5CA644DC"/>
    <w:rsid w:val="5CA7449A"/>
    <w:rsid w:val="5CB9526D"/>
    <w:rsid w:val="5CBD35D4"/>
    <w:rsid w:val="5CC81D5B"/>
    <w:rsid w:val="5CCE6402"/>
    <w:rsid w:val="5CCE7ECF"/>
    <w:rsid w:val="5CD94B1D"/>
    <w:rsid w:val="5CDC6150"/>
    <w:rsid w:val="5CDD5541"/>
    <w:rsid w:val="5CDF2FF9"/>
    <w:rsid w:val="5CE84255"/>
    <w:rsid w:val="5D131446"/>
    <w:rsid w:val="5D192F00"/>
    <w:rsid w:val="5D1A517B"/>
    <w:rsid w:val="5D1D4002"/>
    <w:rsid w:val="5D3F66DF"/>
    <w:rsid w:val="5D4476A0"/>
    <w:rsid w:val="5D605600"/>
    <w:rsid w:val="5D635829"/>
    <w:rsid w:val="5D6D3B91"/>
    <w:rsid w:val="5D6D6856"/>
    <w:rsid w:val="5D801B4F"/>
    <w:rsid w:val="5DA9371D"/>
    <w:rsid w:val="5DB03139"/>
    <w:rsid w:val="5DB94316"/>
    <w:rsid w:val="5DBB5D65"/>
    <w:rsid w:val="5DBC1009"/>
    <w:rsid w:val="5DBF9B84"/>
    <w:rsid w:val="5DD99225"/>
    <w:rsid w:val="5DE80B25"/>
    <w:rsid w:val="5DEA6951"/>
    <w:rsid w:val="5DFC408A"/>
    <w:rsid w:val="5E106C49"/>
    <w:rsid w:val="5E316028"/>
    <w:rsid w:val="5E343D6A"/>
    <w:rsid w:val="5E436EA1"/>
    <w:rsid w:val="5E473A9D"/>
    <w:rsid w:val="5E6737F7"/>
    <w:rsid w:val="5E6E5F24"/>
    <w:rsid w:val="5E9C4600"/>
    <w:rsid w:val="5EA06D09"/>
    <w:rsid w:val="5EAB4A36"/>
    <w:rsid w:val="5EB21B8E"/>
    <w:rsid w:val="5EB729BA"/>
    <w:rsid w:val="5EEC0726"/>
    <w:rsid w:val="5EF07C91"/>
    <w:rsid w:val="5EFD31B1"/>
    <w:rsid w:val="5EFF1C82"/>
    <w:rsid w:val="5F132FF0"/>
    <w:rsid w:val="5F180F96"/>
    <w:rsid w:val="5F1A6ABC"/>
    <w:rsid w:val="5F1E0A25"/>
    <w:rsid w:val="5F274201"/>
    <w:rsid w:val="5F2A371A"/>
    <w:rsid w:val="5F2F656F"/>
    <w:rsid w:val="5F314579"/>
    <w:rsid w:val="5F335DCF"/>
    <w:rsid w:val="5F337B7D"/>
    <w:rsid w:val="5F544336"/>
    <w:rsid w:val="5F5572F2"/>
    <w:rsid w:val="5F6103B4"/>
    <w:rsid w:val="5F6CADD2"/>
    <w:rsid w:val="5F6E2BE4"/>
    <w:rsid w:val="5F710660"/>
    <w:rsid w:val="5FC86518"/>
    <w:rsid w:val="5FCF57BB"/>
    <w:rsid w:val="5FD01870"/>
    <w:rsid w:val="5FE77D07"/>
    <w:rsid w:val="5FEFCB6A"/>
    <w:rsid w:val="5FEFD750"/>
    <w:rsid w:val="5FF497D9"/>
    <w:rsid w:val="5FF90DC7"/>
    <w:rsid w:val="60036E23"/>
    <w:rsid w:val="60152F95"/>
    <w:rsid w:val="60200102"/>
    <w:rsid w:val="60204437"/>
    <w:rsid w:val="60211516"/>
    <w:rsid w:val="602378D7"/>
    <w:rsid w:val="602D143E"/>
    <w:rsid w:val="60301004"/>
    <w:rsid w:val="60382473"/>
    <w:rsid w:val="603B26DF"/>
    <w:rsid w:val="603E67DA"/>
    <w:rsid w:val="604A1623"/>
    <w:rsid w:val="605E3790"/>
    <w:rsid w:val="606E0145"/>
    <w:rsid w:val="606F1089"/>
    <w:rsid w:val="607C3983"/>
    <w:rsid w:val="607E751E"/>
    <w:rsid w:val="60820DBC"/>
    <w:rsid w:val="60835300"/>
    <w:rsid w:val="60940AF0"/>
    <w:rsid w:val="609B1E7E"/>
    <w:rsid w:val="60AC4F46"/>
    <w:rsid w:val="60AF592A"/>
    <w:rsid w:val="60CA5C5B"/>
    <w:rsid w:val="60D14BE6"/>
    <w:rsid w:val="60E45417"/>
    <w:rsid w:val="60F87F99"/>
    <w:rsid w:val="61161505"/>
    <w:rsid w:val="612956DC"/>
    <w:rsid w:val="612B67C4"/>
    <w:rsid w:val="613227E3"/>
    <w:rsid w:val="61333E65"/>
    <w:rsid w:val="613876CD"/>
    <w:rsid w:val="613E7BD6"/>
    <w:rsid w:val="614C5210"/>
    <w:rsid w:val="61501C21"/>
    <w:rsid w:val="616404C2"/>
    <w:rsid w:val="616A6E87"/>
    <w:rsid w:val="618F2C11"/>
    <w:rsid w:val="61936344"/>
    <w:rsid w:val="619E1C26"/>
    <w:rsid w:val="61C97E28"/>
    <w:rsid w:val="61D94A0C"/>
    <w:rsid w:val="61E45BE1"/>
    <w:rsid w:val="61EF2482"/>
    <w:rsid w:val="61F25ACE"/>
    <w:rsid w:val="61FC06FB"/>
    <w:rsid w:val="62052C58"/>
    <w:rsid w:val="620E7C5F"/>
    <w:rsid w:val="62143C96"/>
    <w:rsid w:val="62161BC7"/>
    <w:rsid w:val="62327299"/>
    <w:rsid w:val="623B56C7"/>
    <w:rsid w:val="62403290"/>
    <w:rsid w:val="62417C19"/>
    <w:rsid w:val="624F2F20"/>
    <w:rsid w:val="627A1670"/>
    <w:rsid w:val="62944DD7"/>
    <w:rsid w:val="62966DA1"/>
    <w:rsid w:val="62A82E92"/>
    <w:rsid w:val="62C162DF"/>
    <w:rsid w:val="62C31218"/>
    <w:rsid w:val="62C52604"/>
    <w:rsid w:val="62C54F90"/>
    <w:rsid w:val="62C82761"/>
    <w:rsid w:val="62CF7510"/>
    <w:rsid w:val="63017C85"/>
    <w:rsid w:val="6341070D"/>
    <w:rsid w:val="63493E13"/>
    <w:rsid w:val="634C56B2"/>
    <w:rsid w:val="635D78BF"/>
    <w:rsid w:val="63770981"/>
    <w:rsid w:val="637901FC"/>
    <w:rsid w:val="637B2DD2"/>
    <w:rsid w:val="63882ED5"/>
    <w:rsid w:val="638C3E3F"/>
    <w:rsid w:val="638C7C76"/>
    <w:rsid w:val="639808F7"/>
    <w:rsid w:val="63A075C4"/>
    <w:rsid w:val="63A53E53"/>
    <w:rsid w:val="63A92582"/>
    <w:rsid w:val="63BB361B"/>
    <w:rsid w:val="63C27722"/>
    <w:rsid w:val="63C52A41"/>
    <w:rsid w:val="63CF0C67"/>
    <w:rsid w:val="63E40472"/>
    <w:rsid w:val="63F81C40"/>
    <w:rsid w:val="642C2FFF"/>
    <w:rsid w:val="6436074F"/>
    <w:rsid w:val="64373C6C"/>
    <w:rsid w:val="64427DEE"/>
    <w:rsid w:val="644B139F"/>
    <w:rsid w:val="644F5459"/>
    <w:rsid w:val="64547F2D"/>
    <w:rsid w:val="64760C38"/>
    <w:rsid w:val="64793B97"/>
    <w:rsid w:val="649176F3"/>
    <w:rsid w:val="64C64FF0"/>
    <w:rsid w:val="64E421D7"/>
    <w:rsid w:val="64E536C8"/>
    <w:rsid w:val="64EF27FA"/>
    <w:rsid w:val="65000502"/>
    <w:rsid w:val="65171144"/>
    <w:rsid w:val="65177B21"/>
    <w:rsid w:val="653603C7"/>
    <w:rsid w:val="654900FB"/>
    <w:rsid w:val="65660CAD"/>
    <w:rsid w:val="65662D40"/>
    <w:rsid w:val="656B62C3"/>
    <w:rsid w:val="658E3D60"/>
    <w:rsid w:val="65975ABE"/>
    <w:rsid w:val="65980C88"/>
    <w:rsid w:val="65DA7C44"/>
    <w:rsid w:val="65E358B9"/>
    <w:rsid w:val="65FC3B45"/>
    <w:rsid w:val="66094559"/>
    <w:rsid w:val="660B1854"/>
    <w:rsid w:val="66486604"/>
    <w:rsid w:val="664D59C9"/>
    <w:rsid w:val="665065E3"/>
    <w:rsid w:val="66542793"/>
    <w:rsid w:val="6677416F"/>
    <w:rsid w:val="667E2026"/>
    <w:rsid w:val="66903B07"/>
    <w:rsid w:val="66CB066F"/>
    <w:rsid w:val="66D41C46"/>
    <w:rsid w:val="66EA3BE6"/>
    <w:rsid w:val="66FE6CC3"/>
    <w:rsid w:val="6721001D"/>
    <w:rsid w:val="67334BBF"/>
    <w:rsid w:val="673637B0"/>
    <w:rsid w:val="6739419F"/>
    <w:rsid w:val="674015EF"/>
    <w:rsid w:val="67471169"/>
    <w:rsid w:val="674768BC"/>
    <w:rsid w:val="67696832"/>
    <w:rsid w:val="678629DB"/>
    <w:rsid w:val="679259FF"/>
    <w:rsid w:val="679744DF"/>
    <w:rsid w:val="67980EC5"/>
    <w:rsid w:val="679F2254"/>
    <w:rsid w:val="67A413F1"/>
    <w:rsid w:val="67A45ABC"/>
    <w:rsid w:val="67B841A0"/>
    <w:rsid w:val="67C47140"/>
    <w:rsid w:val="67CB482E"/>
    <w:rsid w:val="67CF572D"/>
    <w:rsid w:val="67CF642B"/>
    <w:rsid w:val="67E4410B"/>
    <w:rsid w:val="67FA392E"/>
    <w:rsid w:val="682E182A"/>
    <w:rsid w:val="682E5386"/>
    <w:rsid w:val="68354427"/>
    <w:rsid w:val="684921C0"/>
    <w:rsid w:val="686F41A0"/>
    <w:rsid w:val="6873723D"/>
    <w:rsid w:val="687C5E53"/>
    <w:rsid w:val="687E455F"/>
    <w:rsid w:val="689C6793"/>
    <w:rsid w:val="68A16CAB"/>
    <w:rsid w:val="68B7625C"/>
    <w:rsid w:val="68CA77A4"/>
    <w:rsid w:val="68D12617"/>
    <w:rsid w:val="68D73052"/>
    <w:rsid w:val="68D75A1D"/>
    <w:rsid w:val="68DE6DAC"/>
    <w:rsid w:val="68DFBEA8"/>
    <w:rsid w:val="68F14D31"/>
    <w:rsid w:val="68F16ADF"/>
    <w:rsid w:val="68F55EA4"/>
    <w:rsid w:val="68FA02C2"/>
    <w:rsid w:val="68FB170C"/>
    <w:rsid w:val="68FB795E"/>
    <w:rsid w:val="68FC7232"/>
    <w:rsid w:val="69001CCB"/>
    <w:rsid w:val="69055FF2"/>
    <w:rsid w:val="69064ECD"/>
    <w:rsid w:val="69117181"/>
    <w:rsid w:val="691B590A"/>
    <w:rsid w:val="69205616"/>
    <w:rsid w:val="69344C1E"/>
    <w:rsid w:val="6944742F"/>
    <w:rsid w:val="694F07A9"/>
    <w:rsid w:val="69613711"/>
    <w:rsid w:val="696C6E31"/>
    <w:rsid w:val="69746CC5"/>
    <w:rsid w:val="697E02E2"/>
    <w:rsid w:val="69B018C1"/>
    <w:rsid w:val="69C2047C"/>
    <w:rsid w:val="69C443DA"/>
    <w:rsid w:val="69E71AD9"/>
    <w:rsid w:val="69F85C4B"/>
    <w:rsid w:val="69FF1A78"/>
    <w:rsid w:val="6A010FA4"/>
    <w:rsid w:val="6A22006E"/>
    <w:rsid w:val="6A2A7525"/>
    <w:rsid w:val="6A302FE4"/>
    <w:rsid w:val="6A3846AF"/>
    <w:rsid w:val="6A436FC0"/>
    <w:rsid w:val="6A446A13"/>
    <w:rsid w:val="6A5F4F63"/>
    <w:rsid w:val="6A5F748C"/>
    <w:rsid w:val="6A7C062B"/>
    <w:rsid w:val="6A841D70"/>
    <w:rsid w:val="6A933BC6"/>
    <w:rsid w:val="6AE85CC0"/>
    <w:rsid w:val="6AF61265"/>
    <w:rsid w:val="6AFC5785"/>
    <w:rsid w:val="6B083125"/>
    <w:rsid w:val="6B0A032C"/>
    <w:rsid w:val="6B0A3E88"/>
    <w:rsid w:val="6B0B007F"/>
    <w:rsid w:val="6B122D3D"/>
    <w:rsid w:val="6B297183"/>
    <w:rsid w:val="6B2D5DC9"/>
    <w:rsid w:val="6B6748E5"/>
    <w:rsid w:val="6B8A321B"/>
    <w:rsid w:val="6B9179B8"/>
    <w:rsid w:val="6BA53BB1"/>
    <w:rsid w:val="6BB6110A"/>
    <w:rsid w:val="6BBA12EE"/>
    <w:rsid w:val="6BC57F00"/>
    <w:rsid w:val="6BCA6420"/>
    <w:rsid w:val="6BD5488C"/>
    <w:rsid w:val="6BE26BB3"/>
    <w:rsid w:val="6BE741CA"/>
    <w:rsid w:val="6BEC4DD2"/>
    <w:rsid w:val="6C0C1E82"/>
    <w:rsid w:val="6C134FBF"/>
    <w:rsid w:val="6C1C3133"/>
    <w:rsid w:val="6C22342F"/>
    <w:rsid w:val="6C330ED2"/>
    <w:rsid w:val="6C3527D4"/>
    <w:rsid w:val="6C3D4941"/>
    <w:rsid w:val="6C4510B0"/>
    <w:rsid w:val="6C5B0466"/>
    <w:rsid w:val="6C643B3D"/>
    <w:rsid w:val="6C674CA3"/>
    <w:rsid w:val="6C7C7008"/>
    <w:rsid w:val="6C845EBC"/>
    <w:rsid w:val="6C847C6A"/>
    <w:rsid w:val="6CA546B6"/>
    <w:rsid w:val="6CA82DB4"/>
    <w:rsid w:val="6CC369E5"/>
    <w:rsid w:val="6CC47E5A"/>
    <w:rsid w:val="6CD26C28"/>
    <w:rsid w:val="6CD96208"/>
    <w:rsid w:val="6CDE737B"/>
    <w:rsid w:val="6CED272F"/>
    <w:rsid w:val="6CFE7A1D"/>
    <w:rsid w:val="6D055865"/>
    <w:rsid w:val="6D150F8E"/>
    <w:rsid w:val="6D152C7A"/>
    <w:rsid w:val="6D196605"/>
    <w:rsid w:val="6D3276C6"/>
    <w:rsid w:val="6D3708FB"/>
    <w:rsid w:val="6D3E250F"/>
    <w:rsid w:val="6D401DE3"/>
    <w:rsid w:val="6D443964"/>
    <w:rsid w:val="6D5835D1"/>
    <w:rsid w:val="6D632B13"/>
    <w:rsid w:val="6D7B2E1B"/>
    <w:rsid w:val="6D8749FD"/>
    <w:rsid w:val="6D8A305E"/>
    <w:rsid w:val="6D8C6AB1"/>
    <w:rsid w:val="6D8D2B4F"/>
    <w:rsid w:val="6D9050BE"/>
    <w:rsid w:val="6D964261"/>
    <w:rsid w:val="6DB36A59"/>
    <w:rsid w:val="6DB41A6A"/>
    <w:rsid w:val="6DC825EF"/>
    <w:rsid w:val="6DEED8C2"/>
    <w:rsid w:val="6DEF3809"/>
    <w:rsid w:val="6DF332FA"/>
    <w:rsid w:val="6DFB21AA"/>
    <w:rsid w:val="6E386F5E"/>
    <w:rsid w:val="6E4A456A"/>
    <w:rsid w:val="6E5518BE"/>
    <w:rsid w:val="6E5F273D"/>
    <w:rsid w:val="6E777A87"/>
    <w:rsid w:val="6E7C7210"/>
    <w:rsid w:val="6E97558F"/>
    <w:rsid w:val="6E9835C9"/>
    <w:rsid w:val="6E9B56B7"/>
    <w:rsid w:val="6E9D0F19"/>
    <w:rsid w:val="6EA13F6B"/>
    <w:rsid w:val="6EA70C12"/>
    <w:rsid w:val="6EB81E4D"/>
    <w:rsid w:val="6EEA46FD"/>
    <w:rsid w:val="6F045092"/>
    <w:rsid w:val="6F101C89"/>
    <w:rsid w:val="6F152D9A"/>
    <w:rsid w:val="6F5B1846"/>
    <w:rsid w:val="6F600666"/>
    <w:rsid w:val="6F692830"/>
    <w:rsid w:val="6F6E3F89"/>
    <w:rsid w:val="6F7F3C85"/>
    <w:rsid w:val="6F87083E"/>
    <w:rsid w:val="6FA526CF"/>
    <w:rsid w:val="6FA64098"/>
    <w:rsid w:val="6FAF15DE"/>
    <w:rsid w:val="6FB44B27"/>
    <w:rsid w:val="6FB865A9"/>
    <w:rsid w:val="6FBE2D32"/>
    <w:rsid w:val="6FD107B4"/>
    <w:rsid w:val="6FD29544"/>
    <w:rsid w:val="6FDA09C3"/>
    <w:rsid w:val="6FE4739E"/>
    <w:rsid w:val="6FEF5D43"/>
    <w:rsid w:val="6FF3138F"/>
    <w:rsid w:val="6FF330CC"/>
    <w:rsid w:val="6FFA135B"/>
    <w:rsid w:val="6FFDFE28"/>
    <w:rsid w:val="6FFF7C0E"/>
    <w:rsid w:val="6FFF9F55"/>
    <w:rsid w:val="700D06A2"/>
    <w:rsid w:val="701D01BA"/>
    <w:rsid w:val="70357BF9"/>
    <w:rsid w:val="70384FF4"/>
    <w:rsid w:val="7049709F"/>
    <w:rsid w:val="70607750"/>
    <w:rsid w:val="706B361B"/>
    <w:rsid w:val="70701FBD"/>
    <w:rsid w:val="7073599E"/>
    <w:rsid w:val="70736AC3"/>
    <w:rsid w:val="707515C1"/>
    <w:rsid w:val="707FDCA3"/>
    <w:rsid w:val="70865C9C"/>
    <w:rsid w:val="708A4D58"/>
    <w:rsid w:val="708F6BDE"/>
    <w:rsid w:val="708F7DEE"/>
    <w:rsid w:val="70A37239"/>
    <w:rsid w:val="70A42689"/>
    <w:rsid w:val="70AE6A31"/>
    <w:rsid w:val="70B15EE2"/>
    <w:rsid w:val="70CB04E6"/>
    <w:rsid w:val="70D27294"/>
    <w:rsid w:val="71286E22"/>
    <w:rsid w:val="71381023"/>
    <w:rsid w:val="7143236C"/>
    <w:rsid w:val="71434477"/>
    <w:rsid w:val="71544FA7"/>
    <w:rsid w:val="71645595"/>
    <w:rsid w:val="716E5065"/>
    <w:rsid w:val="717D5BC9"/>
    <w:rsid w:val="71A566B9"/>
    <w:rsid w:val="71B2527A"/>
    <w:rsid w:val="71CA25C3"/>
    <w:rsid w:val="71D376CA"/>
    <w:rsid w:val="71DB20DB"/>
    <w:rsid w:val="71DB657E"/>
    <w:rsid w:val="71DC5974"/>
    <w:rsid w:val="71F15DA2"/>
    <w:rsid w:val="72231699"/>
    <w:rsid w:val="72273572"/>
    <w:rsid w:val="722C6DDA"/>
    <w:rsid w:val="723D0FE7"/>
    <w:rsid w:val="72583E79"/>
    <w:rsid w:val="725A654C"/>
    <w:rsid w:val="72602357"/>
    <w:rsid w:val="72872262"/>
    <w:rsid w:val="728A3B01"/>
    <w:rsid w:val="72994176"/>
    <w:rsid w:val="72B172DF"/>
    <w:rsid w:val="72C45265"/>
    <w:rsid w:val="72D15F08"/>
    <w:rsid w:val="72D361F9"/>
    <w:rsid w:val="72D60AF4"/>
    <w:rsid w:val="72DD425C"/>
    <w:rsid w:val="72E115A8"/>
    <w:rsid w:val="72F85FEB"/>
    <w:rsid w:val="73013DC3"/>
    <w:rsid w:val="73153BB6"/>
    <w:rsid w:val="731A6C33"/>
    <w:rsid w:val="731C29AB"/>
    <w:rsid w:val="731E31D8"/>
    <w:rsid w:val="73243F55"/>
    <w:rsid w:val="73305DFD"/>
    <w:rsid w:val="734D5117"/>
    <w:rsid w:val="734F61F6"/>
    <w:rsid w:val="735E0EFB"/>
    <w:rsid w:val="735F61C1"/>
    <w:rsid w:val="736FD94F"/>
    <w:rsid w:val="737547B1"/>
    <w:rsid w:val="737650A4"/>
    <w:rsid w:val="73836ECE"/>
    <w:rsid w:val="738531BD"/>
    <w:rsid w:val="738A2DD7"/>
    <w:rsid w:val="73905147"/>
    <w:rsid w:val="73915B78"/>
    <w:rsid w:val="73941CCC"/>
    <w:rsid w:val="73993FFB"/>
    <w:rsid w:val="739E74A3"/>
    <w:rsid w:val="73A02BD2"/>
    <w:rsid w:val="73A34E7A"/>
    <w:rsid w:val="73AA26AC"/>
    <w:rsid w:val="73AE12EC"/>
    <w:rsid w:val="73AF3118"/>
    <w:rsid w:val="73B272DC"/>
    <w:rsid w:val="73B452D9"/>
    <w:rsid w:val="73B555D1"/>
    <w:rsid w:val="73BBD34C"/>
    <w:rsid w:val="73D830DC"/>
    <w:rsid w:val="73F277FB"/>
    <w:rsid w:val="73F751C6"/>
    <w:rsid w:val="74035F8D"/>
    <w:rsid w:val="740E65A7"/>
    <w:rsid w:val="7416389E"/>
    <w:rsid w:val="74176CBA"/>
    <w:rsid w:val="74222C41"/>
    <w:rsid w:val="743467DF"/>
    <w:rsid w:val="744213FF"/>
    <w:rsid w:val="744A1799"/>
    <w:rsid w:val="74714F78"/>
    <w:rsid w:val="74884070"/>
    <w:rsid w:val="7491607B"/>
    <w:rsid w:val="74B15F95"/>
    <w:rsid w:val="74DB6895"/>
    <w:rsid w:val="74DEE34C"/>
    <w:rsid w:val="74E0413E"/>
    <w:rsid w:val="74F31E31"/>
    <w:rsid w:val="74FE3011"/>
    <w:rsid w:val="751029E3"/>
    <w:rsid w:val="75322959"/>
    <w:rsid w:val="75331E77"/>
    <w:rsid w:val="7539754B"/>
    <w:rsid w:val="754B3A1B"/>
    <w:rsid w:val="755201BF"/>
    <w:rsid w:val="75521133"/>
    <w:rsid w:val="75532CC9"/>
    <w:rsid w:val="75616D9B"/>
    <w:rsid w:val="75640639"/>
    <w:rsid w:val="75672928"/>
    <w:rsid w:val="75715B57"/>
    <w:rsid w:val="757F36C5"/>
    <w:rsid w:val="75AA195E"/>
    <w:rsid w:val="75AE7D3B"/>
    <w:rsid w:val="75B01F58"/>
    <w:rsid w:val="75B51DBC"/>
    <w:rsid w:val="75CB7DAE"/>
    <w:rsid w:val="75CE4A51"/>
    <w:rsid w:val="75D27C98"/>
    <w:rsid w:val="75DF5F11"/>
    <w:rsid w:val="75ED32D4"/>
    <w:rsid w:val="75FD7964"/>
    <w:rsid w:val="75FF7042"/>
    <w:rsid w:val="7603295D"/>
    <w:rsid w:val="760905A3"/>
    <w:rsid w:val="760925E8"/>
    <w:rsid w:val="76191423"/>
    <w:rsid w:val="763570DB"/>
    <w:rsid w:val="76487F5B"/>
    <w:rsid w:val="76524935"/>
    <w:rsid w:val="76726D86"/>
    <w:rsid w:val="768F354A"/>
    <w:rsid w:val="76934ECB"/>
    <w:rsid w:val="7696746C"/>
    <w:rsid w:val="76BD3B8F"/>
    <w:rsid w:val="76D57A40"/>
    <w:rsid w:val="76EF79DF"/>
    <w:rsid w:val="76F0340D"/>
    <w:rsid w:val="76F58E6F"/>
    <w:rsid w:val="76FD6F97"/>
    <w:rsid w:val="770164D0"/>
    <w:rsid w:val="77076AA4"/>
    <w:rsid w:val="770C0F88"/>
    <w:rsid w:val="77107490"/>
    <w:rsid w:val="771A4CBB"/>
    <w:rsid w:val="772269FE"/>
    <w:rsid w:val="7723408E"/>
    <w:rsid w:val="77424D1F"/>
    <w:rsid w:val="7754671E"/>
    <w:rsid w:val="77597EB6"/>
    <w:rsid w:val="7767B622"/>
    <w:rsid w:val="77692D92"/>
    <w:rsid w:val="777233CA"/>
    <w:rsid w:val="777A05E8"/>
    <w:rsid w:val="77807586"/>
    <w:rsid w:val="77976AA4"/>
    <w:rsid w:val="77AC6ED5"/>
    <w:rsid w:val="77C11D73"/>
    <w:rsid w:val="77C61FA0"/>
    <w:rsid w:val="77C81353"/>
    <w:rsid w:val="77CB0E43"/>
    <w:rsid w:val="77CD4BBB"/>
    <w:rsid w:val="77D17A45"/>
    <w:rsid w:val="77D45F4A"/>
    <w:rsid w:val="77D744B6"/>
    <w:rsid w:val="77DA638B"/>
    <w:rsid w:val="77E97F88"/>
    <w:rsid w:val="77ED294E"/>
    <w:rsid w:val="77FE2FC7"/>
    <w:rsid w:val="77FF087A"/>
    <w:rsid w:val="7800397B"/>
    <w:rsid w:val="78055809"/>
    <w:rsid w:val="78125870"/>
    <w:rsid w:val="78246643"/>
    <w:rsid w:val="78267E28"/>
    <w:rsid w:val="78336E8F"/>
    <w:rsid w:val="7836450F"/>
    <w:rsid w:val="783F195D"/>
    <w:rsid w:val="78454752"/>
    <w:rsid w:val="78485FF0"/>
    <w:rsid w:val="785A48DB"/>
    <w:rsid w:val="78623556"/>
    <w:rsid w:val="786728C9"/>
    <w:rsid w:val="786C7F30"/>
    <w:rsid w:val="787B73E6"/>
    <w:rsid w:val="78811502"/>
    <w:rsid w:val="78827687"/>
    <w:rsid w:val="78867F50"/>
    <w:rsid w:val="788D5058"/>
    <w:rsid w:val="789B33E9"/>
    <w:rsid w:val="78A7540C"/>
    <w:rsid w:val="78C22246"/>
    <w:rsid w:val="78DB3308"/>
    <w:rsid w:val="78E82ECC"/>
    <w:rsid w:val="78F74CE4"/>
    <w:rsid w:val="79061938"/>
    <w:rsid w:val="790F6B0E"/>
    <w:rsid w:val="79157058"/>
    <w:rsid w:val="791B1604"/>
    <w:rsid w:val="79277E07"/>
    <w:rsid w:val="793D4922"/>
    <w:rsid w:val="795471DE"/>
    <w:rsid w:val="795D5ACB"/>
    <w:rsid w:val="79616AF5"/>
    <w:rsid w:val="797362B4"/>
    <w:rsid w:val="797572B9"/>
    <w:rsid w:val="798153CC"/>
    <w:rsid w:val="79960FDD"/>
    <w:rsid w:val="79A82AF9"/>
    <w:rsid w:val="79A90D10"/>
    <w:rsid w:val="79B0209F"/>
    <w:rsid w:val="79BF480D"/>
    <w:rsid w:val="79C67B14"/>
    <w:rsid w:val="79CE4C1B"/>
    <w:rsid w:val="79CF5E40"/>
    <w:rsid w:val="79D32B34"/>
    <w:rsid w:val="79DB2301"/>
    <w:rsid w:val="79E66321"/>
    <w:rsid w:val="7A0643B5"/>
    <w:rsid w:val="7A066E53"/>
    <w:rsid w:val="7A293F92"/>
    <w:rsid w:val="7A2A28FE"/>
    <w:rsid w:val="7A2F1E3C"/>
    <w:rsid w:val="7A2F7FBA"/>
    <w:rsid w:val="7A344A7E"/>
    <w:rsid w:val="7A4455AE"/>
    <w:rsid w:val="7A4D1FE3"/>
    <w:rsid w:val="7A4D6A17"/>
    <w:rsid w:val="7A5F5873"/>
    <w:rsid w:val="7A613399"/>
    <w:rsid w:val="7A886B78"/>
    <w:rsid w:val="7A9A7EC7"/>
    <w:rsid w:val="7A9C0875"/>
    <w:rsid w:val="7AD048D5"/>
    <w:rsid w:val="7AF608E4"/>
    <w:rsid w:val="7B2C1BF9"/>
    <w:rsid w:val="7B315461"/>
    <w:rsid w:val="7B3B25D2"/>
    <w:rsid w:val="7B4D23D0"/>
    <w:rsid w:val="7B5178B1"/>
    <w:rsid w:val="7B606A67"/>
    <w:rsid w:val="7B6A2721"/>
    <w:rsid w:val="7B71585E"/>
    <w:rsid w:val="7B7E4AEF"/>
    <w:rsid w:val="7B7F7F7B"/>
    <w:rsid w:val="7B9854E0"/>
    <w:rsid w:val="7B9D74A9"/>
    <w:rsid w:val="7BA615A2"/>
    <w:rsid w:val="7BAD2EC7"/>
    <w:rsid w:val="7BB8348D"/>
    <w:rsid w:val="7BBD1C97"/>
    <w:rsid w:val="7BBF254C"/>
    <w:rsid w:val="7BBF715B"/>
    <w:rsid w:val="7BD06A28"/>
    <w:rsid w:val="7BD55536"/>
    <w:rsid w:val="7BDE554C"/>
    <w:rsid w:val="7BE14DA1"/>
    <w:rsid w:val="7BEF4576"/>
    <w:rsid w:val="7BF546E1"/>
    <w:rsid w:val="7BF71835"/>
    <w:rsid w:val="7BFF585B"/>
    <w:rsid w:val="7C031C34"/>
    <w:rsid w:val="7C1459E2"/>
    <w:rsid w:val="7C1F175E"/>
    <w:rsid w:val="7C1F1BD0"/>
    <w:rsid w:val="7C4756E9"/>
    <w:rsid w:val="7C550F05"/>
    <w:rsid w:val="7C5B4CE6"/>
    <w:rsid w:val="7C5D696C"/>
    <w:rsid w:val="7C611D76"/>
    <w:rsid w:val="7C6F6241"/>
    <w:rsid w:val="7C7B014B"/>
    <w:rsid w:val="7C833A9B"/>
    <w:rsid w:val="7C8616B1"/>
    <w:rsid w:val="7C883B40"/>
    <w:rsid w:val="7C8A5143"/>
    <w:rsid w:val="7C907F65"/>
    <w:rsid w:val="7CA0464C"/>
    <w:rsid w:val="7CAE2D60"/>
    <w:rsid w:val="7CBA4FE2"/>
    <w:rsid w:val="7CBB1486"/>
    <w:rsid w:val="7CCD2F68"/>
    <w:rsid w:val="7CD267D0"/>
    <w:rsid w:val="7CDFA69B"/>
    <w:rsid w:val="7CF209C2"/>
    <w:rsid w:val="7D006117"/>
    <w:rsid w:val="7D0D15B6"/>
    <w:rsid w:val="7D171AF4"/>
    <w:rsid w:val="7D23036F"/>
    <w:rsid w:val="7D2A03BA"/>
    <w:rsid w:val="7D2E4B27"/>
    <w:rsid w:val="7D337C34"/>
    <w:rsid w:val="7D366D5F"/>
    <w:rsid w:val="7D382AD7"/>
    <w:rsid w:val="7D40373A"/>
    <w:rsid w:val="7D4A0A5C"/>
    <w:rsid w:val="7D580E3B"/>
    <w:rsid w:val="7D5C044C"/>
    <w:rsid w:val="7D60202E"/>
    <w:rsid w:val="7D7E6B8B"/>
    <w:rsid w:val="7D9046C1"/>
    <w:rsid w:val="7D9615AC"/>
    <w:rsid w:val="7DBFAEB0"/>
    <w:rsid w:val="7DCD02A0"/>
    <w:rsid w:val="7DD563A4"/>
    <w:rsid w:val="7DEB3451"/>
    <w:rsid w:val="7DF12C86"/>
    <w:rsid w:val="7DFD08B0"/>
    <w:rsid w:val="7DFF5852"/>
    <w:rsid w:val="7E144772"/>
    <w:rsid w:val="7E2748F9"/>
    <w:rsid w:val="7E3257BC"/>
    <w:rsid w:val="7E3D5ECB"/>
    <w:rsid w:val="7E4E1E86"/>
    <w:rsid w:val="7E4F6F2D"/>
    <w:rsid w:val="7E55DB23"/>
    <w:rsid w:val="7E584026"/>
    <w:rsid w:val="7E5F4093"/>
    <w:rsid w:val="7E681432"/>
    <w:rsid w:val="7E6B34F5"/>
    <w:rsid w:val="7E7B1E6F"/>
    <w:rsid w:val="7E7B3A3F"/>
    <w:rsid w:val="7E7FB659"/>
    <w:rsid w:val="7E7FCC61"/>
    <w:rsid w:val="7E807A39"/>
    <w:rsid w:val="7E8A7C9B"/>
    <w:rsid w:val="7E8B30DA"/>
    <w:rsid w:val="7E8C2368"/>
    <w:rsid w:val="7E9401E1"/>
    <w:rsid w:val="7E9C6F9B"/>
    <w:rsid w:val="7EAB72D9"/>
    <w:rsid w:val="7EAF501B"/>
    <w:rsid w:val="7EB45671"/>
    <w:rsid w:val="7EBF4B32"/>
    <w:rsid w:val="7EC5039A"/>
    <w:rsid w:val="7EC91358"/>
    <w:rsid w:val="7ED7DDCE"/>
    <w:rsid w:val="7EEA3FF4"/>
    <w:rsid w:val="7EEB3B79"/>
    <w:rsid w:val="7EED1546"/>
    <w:rsid w:val="7EED831C"/>
    <w:rsid w:val="7EF7668B"/>
    <w:rsid w:val="7F044223"/>
    <w:rsid w:val="7F07550C"/>
    <w:rsid w:val="7F0D1D41"/>
    <w:rsid w:val="7F0E47C4"/>
    <w:rsid w:val="7F126204"/>
    <w:rsid w:val="7F126E6A"/>
    <w:rsid w:val="7F141322"/>
    <w:rsid w:val="7F1453DB"/>
    <w:rsid w:val="7F1475B9"/>
    <w:rsid w:val="7F1629A4"/>
    <w:rsid w:val="7F1E1CCB"/>
    <w:rsid w:val="7F2876AC"/>
    <w:rsid w:val="7F341DFF"/>
    <w:rsid w:val="7F49295A"/>
    <w:rsid w:val="7F590AE3"/>
    <w:rsid w:val="7F7F2104"/>
    <w:rsid w:val="7F7FE64A"/>
    <w:rsid w:val="7F956761"/>
    <w:rsid w:val="7F9B49B0"/>
    <w:rsid w:val="7FB422C4"/>
    <w:rsid w:val="7FC90A18"/>
    <w:rsid w:val="7FD3F092"/>
    <w:rsid w:val="7FDC3989"/>
    <w:rsid w:val="7FE77E03"/>
    <w:rsid w:val="7FE9C8BC"/>
    <w:rsid w:val="7FEA09E2"/>
    <w:rsid w:val="7FEC1957"/>
    <w:rsid w:val="7FEEA0B2"/>
    <w:rsid w:val="7FF37189"/>
    <w:rsid w:val="7FFB2E9E"/>
    <w:rsid w:val="8CFD2606"/>
    <w:rsid w:val="8DDC2330"/>
    <w:rsid w:val="916FE4D6"/>
    <w:rsid w:val="97DB454D"/>
    <w:rsid w:val="9FBD6E3A"/>
    <w:rsid w:val="9FEDE34E"/>
    <w:rsid w:val="9FFD4D1B"/>
    <w:rsid w:val="ABB51C1B"/>
    <w:rsid w:val="AFBBF067"/>
    <w:rsid w:val="B5FF2DC1"/>
    <w:rsid w:val="B77E5956"/>
    <w:rsid w:val="B7D75C42"/>
    <w:rsid w:val="B9F775B7"/>
    <w:rsid w:val="BC936312"/>
    <w:rsid w:val="BDFF1568"/>
    <w:rsid w:val="BDFFED4C"/>
    <w:rsid w:val="BEDF50DF"/>
    <w:rsid w:val="BF7F7A46"/>
    <w:rsid w:val="BFD75EF3"/>
    <w:rsid w:val="BFEA60F3"/>
    <w:rsid w:val="BFF4EE88"/>
    <w:rsid w:val="BFF78A21"/>
    <w:rsid w:val="C6DF4D2C"/>
    <w:rsid w:val="CB9F8897"/>
    <w:rsid w:val="CBEC8E37"/>
    <w:rsid w:val="CDDF8D29"/>
    <w:rsid w:val="CF7B6F3E"/>
    <w:rsid w:val="D2B781E6"/>
    <w:rsid w:val="D2B9B37B"/>
    <w:rsid w:val="D47FFD19"/>
    <w:rsid w:val="D4CF2BBE"/>
    <w:rsid w:val="D5FF4F5B"/>
    <w:rsid w:val="D6BC088F"/>
    <w:rsid w:val="D6C7FF08"/>
    <w:rsid w:val="D8FF9E66"/>
    <w:rsid w:val="DB2C0A30"/>
    <w:rsid w:val="DB2EA37C"/>
    <w:rsid w:val="DDDFBE76"/>
    <w:rsid w:val="DE03CB35"/>
    <w:rsid w:val="DEFAD7D8"/>
    <w:rsid w:val="DFB72C70"/>
    <w:rsid w:val="DFEFD9C2"/>
    <w:rsid w:val="DFFA7DB7"/>
    <w:rsid w:val="DFFFF0DC"/>
    <w:rsid w:val="E4EB1C6E"/>
    <w:rsid w:val="E5FE7495"/>
    <w:rsid w:val="E75F9682"/>
    <w:rsid w:val="E7BBB46B"/>
    <w:rsid w:val="EA0B12A9"/>
    <w:rsid w:val="EBF68805"/>
    <w:rsid w:val="ECFDBCD1"/>
    <w:rsid w:val="EDF93B52"/>
    <w:rsid w:val="EE77656E"/>
    <w:rsid w:val="EEAF13BB"/>
    <w:rsid w:val="EEE7E7A4"/>
    <w:rsid w:val="EFF60C47"/>
    <w:rsid w:val="F1F511E9"/>
    <w:rsid w:val="F4FD12F9"/>
    <w:rsid w:val="F4FF5FE5"/>
    <w:rsid w:val="F5FB9088"/>
    <w:rsid w:val="F67E61C9"/>
    <w:rsid w:val="F68F70A5"/>
    <w:rsid w:val="F6FF9BF5"/>
    <w:rsid w:val="F773574D"/>
    <w:rsid w:val="F793D169"/>
    <w:rsid w:val="F7BBF211"/>
    <w:rsid w:val="F7C73CB8"/>
    <w:rsid w:val="F7DEF1EE"/>
    <w:rsid w:val="F7F38D57"/>
    <w:rsid w:val="F7FF55DE"/>
    <w:rsid w:val="F98567CE"/>
    <w:rsid w:val="F9BEFF0E"/>
    <w:rsid w:val="F9EFC684"/>
    <w:rsid w:val="F9FCD795"/>
    <w:rsid w:val="FADDB4F8"/>
    <w:rsid w:val="FAE9CD5D"/>
    <w:rsid w:val="FAFF03A9"/>
    <w:rsid w:val="FB5F9FE3"/>
    <w:rsid w:val="FB692196"/>
    <w:rsid w:val="FBDFBB80"/>
    <w:rsid w:val="FD3DA235"/>
    <w:rsid w:val="FD7DC39C"/>
    <w:rsid w:val="FD8F7012"/>
    <w:rsid w:val="FDAD4A42"/>
    <w:rsid w:val="FDEC5532"/>
    <w:rsid w:val="FDFDD994"/>
    <w:rsid w:val="FDFE196F"/>
    <w:rsid w:val="FDFF7532"/>
    <w:rsid w:val="FDFFA531"/>
    <w:rsid w:val="FE36815A"/>
    <w:rsid w:val="FE5F1C3D"/>
    <w:rsid w:val="FEBDE989"/>
    <w:rsid w:val="FEBF0BE3"/>
    <w:rsid w:val="FEF5BAD6"/>
    <w:rsid w:val="FEF8293B"/>
    <w:rsid w:val="FF53E4DC"/>
    <w:rsid w:val="FF572B2E"/>
    <w:rsid w:val="FF7B3FA7"/>
    <w:rsid w:val="FFDF63B8"/>
    <w:rsid w:val="FFE70018"/>
    <w:rsid w:val="FFE76465"/>
    <w:rsid w:val="FFF7D605"/>
    <w:rsid w:val="FFFAA7B2"/>
    <w:rsid w:val="FFFDC1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6"/>
    <w:basedOn w:val="1"/>
    <w:next w:val="1"/>
    <w:qFormat/>
    <w:uiPriority w:val="0"/>
    <w:pPr>
      <w:spacing w:before="60" w:after="60" w:line="360" w:lineRule="auto"/>
      <w:outlineLvl w:val="5"/>
    </w:pPr>
    <w:rPr>
      <w:b/>
      <w:bCs/>
      <w:kern w:val="0"/>
      <w:sz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annotation text"/>
    <w:basedOn w:val="1"/>
    <w:link w:val="30"/>
    <w:unhideWhenUsed/>
    <w:qFormat/>
    <w:uiPriority w:val="0"/>
    <w:pPr>
      <w:jc w:val="left"/>
    </w:pPr>
    <w:rPr>
      <w:kern w:val="0"/>
      <w:sz w:val="20"/>
    </w:rPr>
  </w:style>
  <w:style w:type="paragraph" w:styleId="9">
    <w:name w:val="Body Text"/>
    <w:basedOn w:val="1"/>
    <w:next w:val="1"/>
    <w:unhideWhenUsed/>
    <w:qFormat/>
    <w:uiPriority w:val="0"/>
    <w:pPr>
      <w:spacing w:after="120"/>
    </w:pPr>
    <w:rPr>
      <w:sz w:val="24"/>
    </w:rPr>
  </w:style>
  <w:style w:type="paragraph" w:styleId="10">
    <w:name w:val="Body Text Indent"/>
    <w:basedOn w:val="1"/>
    <w:next w:val="11"/>
    <w:unhideWhenUsed/>
    <w:qFormat/>
    <w:uiPriority w:val="99"/>
    <w:pPr>
      <w:spacing w:after="120"/>
      <w:ind w:left="420" w:leftChars="200"/>
    </w:pPr>
    <w:rPr>
      <w:kern w:val="0"/>
      <w:sz w:val="20"/>
      <w:szCs w:val="20"/>
    </w:rPr>
  </w:style>
  <w:style w:type="paragraph" w:styleId="11">
    <w:name w:val="envelope return"/>
    <w:basedOn w:val="1"/>
    <w:qFormat/>
    <w:uiPriority w:val="0"/>
    <w:pPr>
      <w:tabs>
        <w:tab w:val="left" w:pos="426"/>
      </w:tabs>
    </w:pPr>
    <w:rPr>
      <w:rFonts w:ascii="Arial" w:hAnsi="Arial"/>
    </w:rPr>
  </w:style>
  <w:style w:type="paragraph" w:styleId="12">
    <w:name w:val="Block Text"/>
    <w:basedOn w:val="1"/>
    <w:unhideWhenUsed/>
    <w:qFormat/>
    <w:uiPriority w:val="99"/>
    <w:pPr>
      <w:spacing w:after="120"/>
      <w:ind w:left="1440" w:leftChars="700" w:right="1440" w:rightChars="700"/>
    </w:pPr>
  </w:style>
  <w:style w:type="paragraph" w:styleId="13">
    <w:name w:val="Plain Text"/>
    <w:basedOn w:val="1"/>
    <w:qFormat/>
    <w:uiPriority w:val="0"/>
    <w:rPr>
      <w:rFonts w:ascii="宋体" w:hAnsi="Courier New"/>
    </w:rPr>
  </w:style>
  <w:style w:type="paragraph" w:styleId="14">
    <w:name w:val="Balloon Text"/>
    <w:basedOn w:val="1"/>
    <w:link w:val="31"/>
    <w:qFormat/>
    <w:uiPriority w:val="0"/>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toc 2"/>
    <w:basedOn w:val="1"/>
    <w:next w:val="1"/>
    <w:qFormat/>
    <w:uiPriority w:val="0"/>
    <w:pPr>
      <w:spacing w:line="600" w:lineRule="exact"/>
      <w:ind w:firstLine="880" w:firstLineChars="200"/>
    </w:pPr>
    <w:rPr>
      <w:rFonts w:eastAsia="仿宋_GB2312"/>
      <w:sz w:val="32"/>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Arial" w:hAnsi="Arial" w:eastAsia="隶书"/>
      <w:b/>
      <w:bCs/>
      <w:sz w:val="32"/>
      <w:szCs w:val="32"/>
    </w:rPr>
  </w:style>
  <w:style w:type="paragraph" w:styleId="20">
    <w:name w:val="annotation subject"/>
    <w:basedOn w:val="8"/>
    <w:next w:val="8"/>
    <w:link w:val="32"/>
    <w:qFormat/>
    <w:uiPriority w:val="0"/>
    <w:rPr>
      <w:b/>
      <w:bCs/>
      <w:kern w:val="2"/>
      <w:sz w:val="21"/>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qFormat/>
    <w:uiPriority w:val="0"/>
  </w:style>
  <w:style w:type="character" w:styleId="26">
    <w:name w:val="FollowedHyperlink"/>
    <w:qFormat/>
    <w:uiPriority w:val="0"/>
    <w:rPr>
      <w:color w:val="800080"/>
      <w:u w:val="none"/>
    </w:rPr>
  </w:style>
  <w:style w:type="character" w:styleId="27">
    <w:name w:val="Emphasis"/>
    <w:qFormat/>
    <w:uiPriority w:val="0"/>
    <w:rPr>
      <w:i/>
    </w:rPr>
  </w:style>
  <w:style w:type="character" w:styleId="28">
    <w:name w:val="Hyperlink"/>
    <w:qFormat/>
    <w:uiPriority w:val="0"/>
    <w:rPr>
      <w:color w:val="0000FF"/>
      <w:u w:val="none"/>
    </w:rPr>
  </w:style>
  <w:style w:type="character" w:styleId="29">
    <w:name w:val="annotation reference"/>
    <w:qFormat/>
    <w:uiPriority w:val="0"/>
    <w:rPr>
      <w:sz w:val="21"/>
      <w:szCs w:val="21"/>
    </w:rPr>
  </w:style>
  <w:style w:type="character" w:customStyle="1" w:styleId="30">
    <w:name w:val="批注文字 字符"/>
    <w:link w:val="8"/>
    <w:qFormat/>
    <w:uiPriority w:val="0"/>
    <w:rPr>
      <w:szCs w:val="24"/>
    </w:rPr>
  </w:style>
  <w:style w:type="character" w:customStyle="1" w:styleId="31">
    <w:name w:val="批注框文本 字符"/>
    <w:link w:val="14"/>
    <w:qFormat/>
    <w:uiPriority w:val="0"/>
    <w:rPr>
      <w:kern w:val="2"/>
      <w:sz w:val="18"/>
      <w:szCs w:val="18"/>
    </w:rPr>
  </w:style>
  <w:style w:type="character" w:customStyle="1" w:styleId="32">
    <w:name w:val="批注主题 字符"/>
    <w:link w:val="20"/>
    <w:qFormat/>
    <w:uiPriority w:val="0"/>
    <w:rPr>
      <w:b/>
      <w:bCs/>
      <w:kern w:val="2"/>
      <w:sz w:val="21"/>
      <w:szCs w:val="24"/>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5">
    <w:name w:val="正文格式"/>
    <w:basedOn w:val="10"/>
    <w:qFormat/>
    <w:uiPriority w:val="99"/>
    <w:pPr>
      <w:spacing w:after="0" w:line="360" w:lineRule="auto"/>
      <w:ind w:left="0" w:leftChars="0" w:firstLine="600"/>
    </w:pPr>
    <w:rPr>
      <w:rFonts w:eastAsia="仿宋_GB2312"/>
      <w:sz w:val="30"/>
      <w:szCs w:val="30"/>
    </w:rPr>
  </w:style>
  <w:style w:type="paragraph" w:styleId="3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7">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8">
    <w:name w:val="List Paragraph"/>
    <w:basedOn w:val="1"/>
    <w:qFormat/>
    <w:uiPriority w:val="34"/>
    <w:pPr>
      <w:ind w:firstLine="420" w:firstLineChars="200"/>
    </w:pPr>
  </w:style>
  <w:style w:type="paragraph" w:customStyle="1" w:styleId="39">
    <w:name w:val="（）列表模式"/>
    <w:basedOn w:val="1"/>
    <w:qFormat/>
    <w:uiPriority w:val="0"/>
    <w:pPr>
      <w:tabs>
        <w:tab w:val="left" w:pos="960"/>
        <w:tab w:val="left" w:pos="1470"/>
      </w:tabs>
      <w:spacing w:line="360" w:lineRule="auto"/>
      <w:ind w:left="1470" w:hanging="420"/>
    </w:pPr>
    <w:rPr>
      <w:sz w:val="24"/>
      <w:szCs w:val="20"/>
    </w:rPr>
  </w:style>
  <w:style w:type="paragraph" w:customStyle="1" w:styleId="40">
    <w:name w:val="Table Paragraph"/>
    <w:basedOn w:val="1"/>
    <w:qFormat/>
    <w:uiPriority w:val="0"/>
    <w:pPr>
      <w:autoSpaceDE w:val="0"/>
      <w:autoSpaceDN w:val="0"/>
      <w:jc w:val="left"/>
    </w:pPr>
    <w:rPr>
      <w:rFonts w:ascii="宋体" w:hAnsi="宋体" w:cs="宋体"/>
      <w:kern w:val="0"/>
      <w:sz w:val="22"/>
      <w:szCs w:val="22"/>
    </w:rPr>
  </w:style>
  <w:style w:type="paragraph" w:customStyle="1" w:styleId="4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qowt-font5-gb2312"/>
    <w:qFormat/>
    <w:uiPriority w:val="0"/>
  </w:style>
  <w:style w:type="paragraph" w:customStyle="1" w:styleId="43">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44">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NormalCharacter"/>
    <w:qFormat/>
    <w:uiPriority w:val="0"/>
    <w:rPr>
      <w:kern w:val="2"/>
      <w:sz w:val="21"/>
      <w:szCs w:val="24"/>
      <w:lang w:val="en-US" w:eastAsia="zh-CN" w:bidi="ar-SA"/>
    </w:rPr>
  </w:style>
  <w:style w:type="paragraph" w:customStyle="1" w:styleId="48">
    <w:name w:val="样式 标题 2 + 段前: 12 磅 行距: 单倍行距"/>
    <w:basedOn w:val="2"/>
    <w:qFormat/>
    <w:uiPriority w:val="0"/>
    <w:pPr>
      <w:spacing w:before="300" w:line="500" w:lineRule="exact"/>
      <w:ind w:left="567" w:hanging="567"/>
    </w:pPr>
    <w:rPr>
      <w:rFonts w:eastAsia="仿宋_GB2312"/>
      <w:sz w:val="28"/>
    </w:rPr>
  </w:style>
  <w:style w:type="paragraph" w:customStyle="1" w:styleId="49">
    <w:name w:val="_Style 48"/>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17937</Words>
  <Characters>18513</Characters>
  <Lines>1554</Lines>
  <Paragraphs>1439</Paragraphs>
  <TotalTime>16</TotalTime>
  <ScaleCrop>false</ScaleCrop>
  <LinksUpToDate>false</LinksUpToDate>
  <CharactersWithSpaces>18963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2023-11-28T04:59:00Z</dcterms:created>
  <dc:creator>姬崽</dc:creator>
  <cp:lastModifiedBy>黎俊</cp:lastModifiedBy>
  <dcterms:modified xsi:type="dcterms:W3CDTF">2026-06-17T06:19:59Z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A406434CCD054C698DBB6B86C3CB9B0D_13</vt:lpwstr>
  </property>
  <property fmtid="{D5CDD505-2E9C-101B-9397-08002B2CF9AE}" pid="4" name="KSOTemplateDocerSaveRecord">
    <vt:lpwstr>eyJoZGlkIjoiZWI3MDdkZjkxNzczNzlmNTQyMDNhZWUzMzg0MjM3NGYiLCJ1c2VySWQiOiIzMDczMjc3ODMifQ==</vt:lpwstr>
  </property>
</Properties>
</file>