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24CC">
      <w:pPr>
        <w:keepNext w:val="0"/>
        <w:keepLines w:val="0"/>
        <w:pageBreakBefore w:val="0"/>
        <w:widowControl w:val="0"/>
        <w:kinsoku/>
        <w:wordWrap/>
        <w:overflowPunct/>
        <w:topLinePunct w:val="0"/>
        <w:autoSpaceDE/>
        <w:autoSpaceDN/>
        <w:bidi w:val="0"/>
        <w:adjustRightInd/>
        <w:snapToGrid/>
        <w:spacing w:before="625" w:beforeLines="200" w:after="313" w:afterLines="10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深圳市盐田区教育局2025年度专项债券项目资金绩效评价报告</w:t>
      </w:r>
    </w:p>
    <w:p w14:paraId="0979F4F9">
      <w:pPr>
        <w:spacing w:line="579" w:lineRule="exact"/>
        <w:ind w:firstLine="640" w:firstLineChars="200"/>
        <w:outlineLvl w:val="0"/>
        <w:rPr>
          <w:rFonts w:ascii="黑体" w:hAnsi="黑体" w:eastAsia="黑体" w:cs="黑体"/>
          <w:sz w:val="32"/>
          <w:szCs w:val="32"/>
        </w:rPr>
      </w:pPr>
      <w:r>
        <w:rPr>
          <w:rFonts w:hint="eastAsia" w:ascii="仿宋_GB2312" w:eastAsia="仿宋_GB2312" w:cs="仿宋_GB2312"/>
          <w:sz w:val="32"/>
          <w:szCs w:val="32"/>
        </w:rPr>
        <w:t>为加强政府专项债券项目资金绩效管理，提高专项债券资金使用效益，</w:t>
      </w:r>
      <w:r>
        <w:rPr>
          <w:rFonts w:hint="eastAsia" w:ascii="仿宋_GB2312" w:hAnsi="楷体" w:eastAsia="仿宋_GB2312" w:cs="仿宋_GB2312"/>
          <w:sz w:val="32"/>
          <w:szCs w:val="32"/>
        </w:rPr>
        <w:t>有效防控政府债务风险</w:t>
      </w:r>
      <w:r>
        <w:rPr>
          <w:rFonts w:hint="eastAsia" w:ascii="仿宋_GB2312" w:eastAsia="仿宋_GB2312" w:cs="仿宋_GB2312"/>
          <w:sz w:val="32"/>
          <w:szCs w:val="32"/>
        </w:rPr>
        <w:t>，我单位对深圳市盐田区幼儿园建设项目（续发）（以下简称“项目”）开展了专项债券项目资金绩效评价，现将绩效评价情况报告如下：</w:t>
      </w:r>
    </w:p>
    <w:p w14:paraId="58FAA03D">
      <w:pPr>
        <w:spacing w:line="575" w:lineRule="exact"/>
        <w:ind w:firstLine="640" w:firstLineChars="200"/>
        <w:rPr>
          <w:rFonts w:ascii="黑体" w:hAnsi="黑体" w:eastAsia="黑体" w:cs="Times New Roman"/>
          <w:sz w:val="32"/>
          <w:szCs w:val="32"/>
        </w:rPr>
      </w:pPr>
      <w:r>
        <w:rPr>
          <w:rFonts w:hint="eastAsia" w:ascii="黑体" w:hAnsi="黑体" w:eastAsia="黑体" w:cs="黑体"/>
          <w:sz w:val="32"/>
          <w:szCs w:val="32"/>
        </w:rPr>
        <w:t>一、基本情况</w:t>
      </w:r>
    </w:p>
    <w:p w14:paraId="3F6D5EE3">
      <w:pPr>
        <w:spacing w:line="575" w:lineRule="exact"/>
        <w:ind w:firstLine="640" w:firstLineChars="200"/>
        <w:outlineLvl w:val="0"/>
        <w:rPr>
          <w:rFonts w:ascii="仿宋_GB2312" w:eastAsia="仿宋_GB2312" w:cs="仿宋_GB2312"/>
          <w:sz w:val="32"/>
          <w:szCs w:val="32"/>
        </w:rPr>
      </w:pPr>
      <w:r>
        <w:rPr>
          <w:rFonts w:hint="eastAsia" w:ascii="楷体_GB2312" w:eastAsia="楷体_GB2312" w:cs="楷体_GB2312"/>
          <w:sz w:val="32"/>
          <w:szCs w:val="32"/>
        </w:rPr>
        <w:t>（一）项目概况。</w:t>
      </w:r>
    </w:p>
    <w:p w14:paraId="1CD5C08E">
      <w:pPr>
        <w:spacing w:line="575" w:lineRule="exact"/>
        <w:ind w:firstLine="643" w:firstLineChars="200"/>
        <w:outlineLvl w:val="0"/>
        <w:rPr>
          <w:rFonts w:ascii="仿宋_GB2312" w:eastAsia="仿宋_GB2312" w:cs="仿宋_GB2312"/>
          <w:sz w:val="32"/>
          <w:szCs w:val="32"/>
        </w:rPr>
      </w:pPr>
      <w:r>
        <w:rPr>
          <w:rFonts w:hint="eastAsia" w:ascii="仿宋_GB2312" w:eastAsia="仿宋_GB2312" w:cs="仿宋_GB2312"/>
          <w:b/>
          <w:sz w:val="32"/>
          <w:szCs w:val="32"/>
        </w:rPr>
        <w:t>项目背景：</w:t>
      </w:r>
      <w:r>
        <w:rPr>
          <w:rFonts w:hint="eastAsia" w:ascii="仿宋_GB2312" w:eastAsia="仿宋_GB2312" w:cs="仿宋_GB2312"/>
          <w:sz w:val="32"/>
          <w:szCs w:val="32"/>
        </w:rPr>
        <w:t>学前教育是基础教育的重要组成部分，是关系国民素质提高和民族未来兴盛的大事。</w:t>
      </w:r>
      <w:r>
        <w:rPr>
          <w:rFonts w:hint="eastAsia" w:ascii="仿宋_GB2312" w:hAnsi="仿宋_GB2312" w:eastAsia="仿宋_GB2312" w:cs="仿宋_GB2312"/>
          <w:sz w:val="32"/>
          <w:szCs w:val="32"/>
          <w:lang w:val="en-GB"/>
        </w:rPr>
        <w:t>高标准办好学前教育，实现“幼有善育，学有优教”</w:t>
      </w:r>
      <w:r>
        <w:rPr>
          <w:rFonts w:hint="eastAsia" w:ascii="仿宋_GB2312" w:eastAsia="仿宋_GB2312" w:cs="仿宋_GB2312"/>
          <w:sz w:val="32"/>
          <w:szCs w:val="32"/>
        </w:rPr>
        <w:t>，是推进教育现代化建设、改善民生、构建服务型政府的重要举措。项目</w:t>
      </w:r>
      <w:r>
        <w:rPr>
          <w:rFonts w:hint="eastAsia" w:ascii="仿宋_GB2312" w:hAnsi="仿宋_GB2312" w:eastAsia="仿宋_GB2312" w:cs="仿宋_GB2312"/>
          <w:sz w:val="32"/>
          <w:szCs w:val="32"/>
          <w:lang w:val="en-GB"/>
        </w:rPr>
        <w:t>包含辖区内</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GB"/>
        </w:rPr>
        <w:t>所公办幼儿园的设备购置及装修改造，在</w:t>
      </w:r>
      <w:r>
        <w:rPr>
          <w:rFonts w:ascii="仿宋_GB2312" w:hAnsi="仿宋_GB2312" w:eastAsia="仿宋_GB2312" w:cs="仿宋_GB2312"/>
          <w:sz w:val="32"/>
          <w:szCs w:val="32"/>
          <w:lang w:val="en-GB"/>
        </w:rPr>
        <w:t>提高学前教育质量、保障学前幼儿安全的同时，</w:t>
      </w:r>
      <w:r>
        <w:rPr>
          <w:rFonts w:hint="eastAsia" w:ascii="仿宋_GB2312" w:hAnsi="仿宋_GB2312" w:eastAsia="仿宋_GB2312" w:cs="仿宋_GB2312"/>
          <w:sz w:val="32"/>
          <w:szCs w:val="32"/>
          <w:lang w:val="en-GB"/>
        </w:rPr>
        <w:t>可以有效缓解盐田区学前教育阶段教育资源短缺问题，缓解盐田区人民群众对优质学前教育的需求与优质学前教育资源供给不足的矛盾。</w:t>
      </w:r>
    </w:p>
    <w:p w14:paraId="7BF6DE74">
      <w:pPr>
        <w:spacing w:line="575" w:lineRule="exact"/>
        <w:ind w:firstLine="643" w:firstLineChars="200"/>
        <w:outlineLvl w:val="0"/>
        <w:rPr>
          <w:rFonts w:ascii="仿宋_GB2312" w:eastAsia="仿宋_GB2312" w:cs="仿宋_GB2312"/>
          <w:sz w:val="32"/>
          <w:szCs w:val="32"/>
        </w:rPr>
      </w:pPr>
      <w:r>
        <w:rPr>
          <w:rFonts w:hint="eastAsia" w:ascii="仿宋_GB2312" w:eastAsia="仿宋_GB2312" w:cs="仿宋_GB2312"/>
          <w:b/>
          <w:sz w:val="32"/>
          <w:szCs w:val="32"/>
        </w:rPr>
        <w:t>行业相关政策：</w:t>
      </w:r>
      <w:r>
        <w:rPr>
          <w:rFonts w:hint="eastAsia" w:ascii="仿宋_GB2312" w:eastAsia="仿宋_GB2312" w:cs="仿宋_GB2312"/>
          <w:sz w:val="32"/>
          <w:szCs w:val="32"/>
        </w:rPr>
        <w:t>项目根据《托儿所、幼儿园建筑设计规范》（2019年版）的要求</w:t>
      </w:r>
      <w:r>
        <w:rPr>
          <w:rFonts w:hint="eastAsia" w:ascii="仿宋_GB2312" w:eastAsia="仿宋_GB2312" w:cs="仿宋_GB2312"/>
          <w:sz w:val="32"/>
          <w:szCs w:val="32"/>
          <w:lang w:eastAsia="zh-CN"/>
        </w:rPr>
        <w:t>，对幼儿园</w:t>
      </w:r>
      <w:r>
        <w:rPr>
          <w:rFonts w:hint="eastAsia" w:ascii="仿宋_GB2312" w:eastAsia="仿宋_GB2312" w:cs="仿宋_GB2312"/>
          <w:sz w:val="32"/>
          <w:szCs w:val="32"/>
        </w:rPr>
        <w:t>进行设计装修和设备购置，可为幼儿提供宽敞明亮、安全舒适的活动场所和教育设施，能较大地节省政府行政成本，提高教育服务供给水平，项目可行性较高。</w:t>
      </w:r>
    </w:p>
    <w:p w14:paraId="3FA5FE42">
      <w:pPr>
        <w:spacing w:line="575" w:lineRule="exact"/>
        <w:ind w:firstLine="643" w:firstLineChars="200"/>
        <w:outlineLvl w:val="0"/>
        <w:rPr>
          <w:rFonts w:ascii="仿宋_GB2312" w:eastAsia="仿宋_GB2312" w:cs="仿宋_GB2312"/>
          <w:sz w:val="32"/>
          <w:szCs w:val="32"/>
        </w:rPr>
      </w:pPr>
      <w:r>
        <w:rPr>
          <w:rFonts w:hint="eastAsia" w:ascii="仿宋_GB2312" w:eastAsia="仿宋_GB2312" w:cs="仿宋_GB2312"/>
          <w:b/>
          <w:sz w:val="32"/>
          <w:szCs w:val="32"/>
        </w:rPr>
        <w:t>项目建设内容及实施情况：</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2025年</w:t>
      </w:r>
      <w:r>
        <w:rPr>
          <w:rFonts w:hint="eastAsia" w:ascii="仿宋_GB2312" w:eastAsia="仿宋_GB2312" w:cs="仿宋_GB2312"/>
          <w:sz w:val="32"/>
          <w:szCs w:val="32"/>
        </w:rPr>
        <w:t>建设内容包括港嵘拔萃园配套幼儿园装修工程及设备购置、山海四季城二期配套幼儿园装修工程及设备购置、鹏瑞尚府配套幼儿园装修工程及设备购置。</w:t>
      </w:r>
      <w:r>
        <w:rPr>
          <w:rFonts w:hint="eastAsia" w:ascii="仿宋_GB2312" w:eastAsia="仿宋_GB2312" w:cs="仿宋_GB2312"/>
          <w:sz w:val="32"/>
          <w:szCs w:val="32"/>
          <w:lang w:eastAsia="zh-CN"/>
        </w:rPr>
        <w:t>三园装修工程及设备购置工作已全部</w:t>
      </w:r>
      <w:r>
        <w:rPr>
          <w:rFonts w:hint="eastAsia" w:ascii="仿宋_GB2312" w:eastAsia="仿宋_GB2312" w:cs="仿宋_GB2312"/>
          <w:sz w:val="32"/>
          <w:szCs w:val="32"/>
          <w:lang w:val="en-US" w:eastAsia="zh-CN"/>
        </w:rPr>
        <w:t>完</w:t>
      </w:r>
      <w:r>
        <w:rPr>
          <w:rFonts w:hint="eastAsia" w:ascii="仿宋_GB2312" w:eastAsia="仿宋_GB2312" w:cs="仿宋_GB2312"/>
          <w:sz w:val="32"/>
          <w:szCs w:val="32"/>
          <w:lang w:eastAsia="zh-CN"/>
        </w:rPr>
        <w:t>工，已于2025年9月正式投入办学使用</w:t>
      </w:r>
      <w:r>
        <w:rPr>
          <w:rFonts w:hint="eastAsia" w:ascii="仿宋_GB2312" w:eastAsia="仿宋_GB2312" w:cs="仿宋_GB2312"/>
          <w:sz w:val="32"/>
          <w:szCs w:val="32"/>
        </w:rPr>
        <w:t>。</w:t>
      </w:r>
    </w:p>
    <w:p w14:paraId="58C252D0">
      <w:pPr>
        <w:spacing w:line="575" w:lineRule="exact"/>
        <w:ind w:firstLine="643" w:firstLineChars="200"/>
        <w:outlineLvl w:val="0"/>
        <w:rPr>
          <w:rFonts w:ascii="仿宋_GB2312" w:eastAsia="仿宋_GB2312" w:cs="仿宋_GB2312"/>
          <w:sz w:val="32"/>
          <w:szCs w:val="32"/>
        </w:rPr>
      </w:pPr>
      <w:r>
        <w:rPr>
          <w:rFonts w:hint="eastAsia" w:ascii="仿宋_GB2312" w:eastAsia="仿宋_GB2312" w:cs="仿宋_GB2312"/>
          <w:b/>
          <w:sz w:val="32"/>
          <w:szCs w:val="32"/>
        </w:rPr>
        <w:t>项目收入：</w:t>
      </w:r>
      <w:r>
        <w:rPr>
          <w:rFonts w:hint="eastAsia" w:ascii="仿宋_GB2312" w:eastAsia="仿宋_GB2312" w:cs="仿宋_GB2312"/>
          <w:sz w:val="32"/>
          <w:szCs w:val="32"/>
        </w:rPr>
        <w:t>本项目收入为幼儿园保教费收入。</w:t>
      </w:r>
    </w:p>
    <w:p w14:paraId="2F4AB442">
      <w:pPr>
        <w:spacing w:line="575" w:lineRule="exact"/>
        <w:ind w:firstLine="643" w:firstLineChars="200"/>
        <w:outlineLvl w:val="0"/>
      </w:pPr>
      <w:r>
        <w:rPr>
          <w:rFonts w:hint="eastAsia" w:ascii="仿宋_GB2312" w:eastAsia="仿宋_GB2312" w:cs="仿宋_GB2312"/>
          <w:b/>
          <w:sz w:val="32"/>
          <w:szCs w:val="32"/>
        </w:rPr>
        <w:t>资金投入和使用情况：</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年项目专项债券资金发行规模</w:t>
      </w:r>
      <w:r>
        <w:rPr>
          <w:rFonts w:hint="eastAsia" w:ascii="仿宋_GB2312" w:eastAsia="仿宋_GB2312" w:cs="仿宋_GB2312"/>
          <w:sz w:val="32"/>
          <w:szCs w:val="32"/>
          <w:lang w:val="en-US" w:eastAsia="zh-CN"/>
        </w:rPr>
        <w:t>1</w:t>
      </w:r>
      <w:r>
        <w:rPr>
          <w:rFonts w:hint="default" w:ascii="仿宋_GB2312" w:eastAsia="仿宋_GB2312" w:cs="仿宋_GB2312"/>
          <w:sz w:val="32"/>
          <w:szCs w:val="32"/>
          <w:lang w:val="en-US" w:eastAsia="zh-CN"/>
        </w:rPr>
        <w:t>,</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00万元，截至202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年12月31日，项目专项债券资金实际支出</w:t>
      </w:r>
      <w:r>
        <w:rPr>
          <w:rFonts w:hint="eastAsia" w:ascii="仿宋_GB2312" w:eastAsia="仿宋_GB2312" w:cs="仿宋_GB2312"/>
          <w:sz w:val="32"/>
          <w:szCs w:val="32"/>
          <w:lang w:val="en-US" w:eastAsia="zh-CN"/>
        </w:rPr>
        <w:t>1</w:t>
      </w:r>
      <w:r>
        <w:rPr>
          <w:rFonts w:hint="default" w:ascii="仿宋_GB2312" w:eastAsia="仿宋_GB2312" w:cs="仿宋_GB2312"/>
          <w:sz w:val="32"/>
          <w:szCs w:val="32"/>
          <w:lang w:val="en-US" w:eastAsia="zh-CN"/>
        </w:rPr>
        <w:t>,</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00万元，专项债券支出进度100</w:t>
      </w:r>
      <w:r>
        <w:rPr>
          <w:rFonts w:ascii="仿宋_GB2312" w:eastAsia="仿宋_GB2312" w:cs="仿宋_GB2312"/>
          <w:sz w:val="32"/>
          <w:szCs w:val="32"/>
        </w:rPr>
        <w:t>%</w:t>
      </w:r>
      <w:r>
        <w:rPr>
          <w:rFonts w:hint="eastAsia" w:ascii="仿宋_GB2312" w:eastAsia="仿宋_GB2312" w:cs="仿宋_GB2312"/>
          <w:sz w:val="32"/>
          <w:szCs w:val="32"/>
        </w:rPr>
        <w:t>。</w:t>
      </w:r>
    </w:p>
    <w:p w14:paraId="48D722DD">
      <w:pPr>
        <w:spacing w:line="575" w:lineRule="exact"/>
        <w:ind w:firstLine="640" w:firstLineChars="200"/>
        <w:rPr>
          <w:rFonts w:ascii="仿宋_GB2312" w:eastAsia="仿宋_GB2312" w:cs="仿宋_GB2312"/>
          <w:sz w:val="32"/>
          <w:szCs w:val="32"/>
        </w:rPr>
      </w:pPr>
      <w:r>
        <w:rPr>
          <w:rFonts w:hint="eastAsia" w:ascii="楷体_GB2312" w:eastAsia="楷体_GB2312" w:cs="楷体_GB2312"/>
          <w:sz w:val="32"/>
          <w:szCs w:val="32"/>
        </w:rPr>
        <w:t>（二）项目绩效目标。</w:t>
      </w:r>
    </w:p>
    <w:p w14:paraId="1AF60FCC">
      <w:pPr>
        <w:spacing w:line="575"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w:t>
      </w:r>
      <w:r>
        <w:rPr>
          <w:rFonts w:hint="eastAsia" w:ascii="仿宋_GB2312" w:eastAsia="仿宋_GB2312" w:cs="仿宋_GB2312"/>
          <w:sz w:val="32"/>
          <w:szCs w:val="32"/>
          <w:lang w:eastAsia="zh-CN"/>
        </w:rPr>
        <w:t>年度</w:t>
      </w:r>
      <w:r>
        <w:rPr>
          <w:rFonts w:hint="eastAsia" w:ascii="仿宋_GB2312" w:eastAsia="仿宋_GB2312" w:cs="仿宋_GB2312"/>
          <w:sz w:val="32"/>
          <w:szCs w:val="32"/>
        </w:rPr>
        <w:t>绩效目标为“完成山海四季城二期配套幼儿园、鹏瑞尚府配套幼儿园、港嵘拔萃园配套幼儿园二装工程及设备购置等项目，推动三所公办园投入办学，为盐田区新增学前教育学位10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个”，</w:t>
      </w:r>
      <w:r>
        <w:rPr>
          <w:rFonts w:hint="eastAsia" w:ascii="仿宋_GB2312" w:eastAsia="仿宋_GB2312" w:cs="仿宋_GB2312"/>
          <w:sz w:val="32"/>
          <w:szCs w:val="32"/>
          <w:lang w:eastAsia="zh-CN"/>
        </w:rPr>
        <w:t>实际完成情况为“已完成山海四季城二期配套幼儿园、鹏瑞尚府配套幼儿园、港嵘拔萃园配套幼儿园二装工程及设备购置等项目，三园于</w:t>
      </w:r>
      <w:r>
        <w:rPr>
          <w:rFonts w:hint="eastAsia" w:ascii="仿宋_GB2312" w:eastAsia="仿宋_GB2312" w:cs="仿宋_GB2312"/>
          <w:sz w:val="32"/>
          <w:szCs w:val="32"/>
          <w:lang w:val="en-US" w:eastAsia="zh-CN"/>
        </w:rPr>
        <w:t>2</w:t>
      </w:r>
      <w:r>
        <w:rPr>
          <w:rFonts w:hint="default" w:ascii="仿宋_GB2312" w:eastAsia="仿宋_GB2312" w:cs="仿宋_GB2312"/>
          <w:sz w:val="32"/>
          <w:szCs w:val="32"/>
          <w:lang w:val="en-US" w:eastAsia="zh-CN"/>
        </w:rPr>
        <w:t>02</w:t>
      </w:r>
      <w:r>
        <w:rPr>
          <w:rFonts w:hint="eastAsia" w:ascii="仿宋_GB2312" w:eastAsia="仿宋_GB2312" w:cs="仿宋_GB2312"/>
          <w:sz w:val="32"/>
          <w:szCs w:val="32"/>
          <w:lang w:val="en-US" w:eastAsia="zh-CN"/>
        </w:rPr>
        <w:t>5年9月顺利开办，</w:t>
      </w:r>
      <w:r>
        <w:rPr>
          <w:rFonts w:hint="eastAsia" w:ascii="仿宋_GB2312" w:eastAsia="仿宋_GB2312" w:cs="仿宋_GB2312"/>
          <w:sz w:val="32"/>
          <w:szCs w:val="32"/>
          <w:lang w:eastAsia="zh-CN"/>
        </w:rPr>
        <w:t>新增学前教育学位10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lang w:eastAsia="zh-CN"/>
        </w:rPr>
        <w:t>个”，</w:t>
      </w:r>
      <w:r>
        <w:rPr>
          <w:rFonts w:hint="eastAsia" w:ascii="仿宋_GB2312" w:eastAsia="仿宋_GB2312" w:cs="仿宋_GB2312"/>
          <w:sz w:val="32"/>
          <w:szCs w:val="32"/>
        </w:rPr>
        <w:t>对应绩效目标完成情况如下：</w:t>
      </w:r>
    </w:p>
    <w:p w14:paraId="75604833">
      <w:pPr>
        <w:pStyle w:val="13"/>
      </w:pPr>
    </w:p>
    <w:tbl>
      <w:tblPr>
        <w:tblStyle w:val="10"/>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784"/>
        <w:gridCol w:w="2010"/>
        <w:gridCol w:w="1305"/>
        <w:gridCol w:w="1500"/>
      </w:tblGrid>
      <w:tr w14:paraId="6BA4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78" w:type="dxa"/>
            <w:noWrap w:val="0"/>
            <w:vAlign w:val="center"/>
          </w:tcPr>
          <w:p w14:paraId="7C48F1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一级指标</w:t>
            </w:r>
          </w:p>
        </w:tc>
        <w:tc>
          <w:tcPr>
            <w:tcW w:w="1784" w:type="dxa"/>
            <w:noWrap/>
            <w:vAlign w:val="center"/>
          </w:tcPr>
          <w:p w14:paraId="3B76AA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二级指标</w:t>
            </w:r>
          </w:p>
        </w:tc>
        <w:tc>
          <w:tcPr>
            <w:tcW w:w="2010" w:type="dxa"/>
            <w:noWrap w:val="0"/>
            <w:vAlign w:val="center"/>
          </w:tcPr>
          <w:p w14:paraId="324A8B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三级指标</w:t>
            </w:r>
          </w:p>
        </w:tc>
        <w:tc>
          <w:tcPr>
            <w:tcW w:w="1305" w:type="dxa"/>
            <w:noWrap/>
            <w:vAlign w:val="center"/>
          </w:tcPr>
          <w:p w14:paraId="496850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lang w:eastAsia="zh-CN"/>
              </w:rPr>
              <w:t>目标</w:t>
            </w:r>
            <w:r>
              <w:rPr>
                <w:rFonts w:hint="eastAsia" w:ascii="仿宋_GB2312" w:hAnsi="仿宋_GB2312" w:eastAsia="仿宋_GB2312" w:cs="仿宋_GB2312"/>
                <w:b/>
                <w:bCs/>
                <w:color w:val="000000"/>
                <w:kern w:val="0"/>
                <w:sz w:val="24"/>
                <w:szCs w:val="24"/>
                <w:highlight w:val="none"/>
              </w:rPr>
              <w:t>值</w:t>
            </w:r>
          </w:p>
        </w:tc>
        <w:tc>
          <w:tcPr>
            <w:tcW w:w="1500" w:type="dxa"/>
            <w:noWrap/>
            <w:vAlign w:val="center"/>
          </w:tcPr>
          <w:p w14:paraId="2E28E5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实际</w:t>
            </w:r>
          </w:p>
          <w:p w14:paraId="0E9002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完成值</w:t>
            </w:r>
          </w:p>
        </w:tc>
      </w:tr>
      <w:tr w14:paraId="5FCB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78" w:type="dxa"/>
            <w:vMerge w:val="restart"/>
            <w:noWrap w:val="0"/>
            <w:vAlign w:val="center"/>
          </w:tcPr>
          <w:p w14:paraId="122A15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产出指标</w:t>
            </w:r>
          </w:p>
        </w:tc>
        <w:tc>
          <w:tcPr>
            <w:tcW w:w="1784" w:type="dxa"/>
            <w:noWrap/>
            <w:vAlign w:val="center"/>
          </w:tcPr>
          <w:p w14:paraId="41D22B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数量指标</w:t>
            </w:r>
          </w:p>
        </w:tc>
        <w:tc>
          <w:tcPr>
            <w:tcW w:w="2010" w:type="dxa"/>
            <w:shd w:val="clear" w:color="auto" w:fill="auto"/>
            <w:noWrap w:val="0"/>
            <w:vAlign w:val="center"/>
          </w:tcPr>
          <w:p w14:paraId="51907FB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购置设备班级数量</w:t>
            </w:r>
          </w:p>
        </w:tc>
        <w:tc>
          <w:tcPr>
            <w:tcW w:w="1305" w:type="dxa"/>
            <w:shd w:val="clear" w:color="auto" w:fill="auto"/>
            <w:noWrap/>
            <w:vAlign w:val="center"/>
          </w:tcPr>
          <w:p w14:paraId="138A16E0">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34个</w:t>
            </w:r>
          </w:p>
        </w:tc>
        <w:tc>
          <w:tcPr>
            <w:tcW w:w="1500" w:type="dxa"/>
            <w:noWrap/>
            <w:vAlign w:val="center"/>
          </w:tcPr>
          <w:p w14:paraId="2A83308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34个</w:t>
            </w:r>
          </w:p>
        </w:tc>
      </w:tr>
      <w:tr w14:paraId="6F1D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78" w:type="dxa"/>
            <w:vMerge w:val="continue"/>
            <w:noWrap w:val="0"/>
            <w:vAlign w:val="center"/>
          </w:tcPr>
          <w:p w14:paraId="34D3CC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szCs w:val="24"/>
                <w:highlight w:val="none"/>
              </w:rPr>
            </w:pPr>
          </w:p>
        </w:tc>
        <w:tc>
          <w:tcPr>
            <w:tcW w:w="1784" w:type="dxa"/>
            <w:noWrap/>
            <w:vAlign w:val="center"/>
          </w:tcPr>
          <w:p w14:paraId="0EB25A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质量指标</w:t>
            </w:r>
          </w:p>
        </w:tc>
        <w:tc>
          <w:tcPr>
            <w:tcW w:w="2010" w:type="dxa"/>
            <w:shd w:val="clear" w:color="auto" w:fill="auto"/>
            <w:noWrap w:val="0"/>
            <w:vAlign w:val="center"/>
          </w:tcPr>
          <w:p w14:paraId="7987781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设备验收合格率</w:t>
            </w:r>
          </w:p>
        </w:tc>
        <w:tc>
          <w:tcPr>
            <w:tcW w:w="1305" w:type="dxa"/>
            <w:shd w:val="clear" w:color="auto" w:fill="auto"/>
            <w:noWrap/>
            <w:vAlign w:val="center"/>
          </w:tcPr>
          <w:p w14:paraId="42C9068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100%</w:t>
            </w:r>
          </w:p>
        </w:tc>
        <w:tc>
          <w:tcPr>
            <w:tcW w:w="1500" w:type="dxa"/>
            <w:noWrap/>
            <w:vAlign w:val="center"/>
          </w:tcPr>
          <w:p w14:paraId="4109EB43">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r>
      <w:tr w14:paraId="77BC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578" w:type="dxa"/>
            <w:vMerge w:val="continue"/>
            <w:noWrap w:val="0"/>
            <w:vAlign w:val="center"/>
          </w:tcPr>
          <w:p w14:paraId="572B77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szCs w:val="24"/>
                <w:highlight w:val="none"/>
              </w:rPr>
            </w:pPr>
          </w:p>
        </w:tc>
        <w:tc>
          <w:tcPr>
            <w:tcW w:w="1784" w:type="dxa"/>
            <w:noWrap/>
            <w:vAlign w:val="center"/>
          </w:tcPr>
          <w:p w14:paraId="290ABB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时效指标</w:t>
            </w:r>
          </w:p>
        </w:tc>
        <w:tc>
          <w:tcPr>
            <w:tcW w:w="2010" w:type="dxa"/>
            <w:shd w:val="clear" w:color="auto" w:fill="auto"/>
            <w:noWrap w:val="0"/>
            <w:vAlign w:val="center"/>
          </w:tcPr>
          <w:p w14:paraId="7A493F0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设备购置完成时间</w:t>
            </w:r>
          </w:p>
        </w:tc>
        <w:tc>
          <w:tcPr>
            <w:tcW w:w="1305" w:type="dxa"/>
            <w:shd w:val="clear" w:color="auto" w:fill="auto"/>
            <w:noWrap/>
            <w:vAlign w:val="center"/>
          </w:tcPr>
          <w:p w14:paraId="380A2BC3">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2025年12月20日前</w:t>
            </w:r>
          </w:p>
        </w:tc>
        <w:tc>
          <w:tcPr>
            <w:tcW w:w="1500" w:type="dxa"/>
            <w:noWrap/>
            <w:vAlign w:val="center"/>
          </w:tcPr>
          <w:p w14:paraId="5E86AB2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2025年9月26日</w:t>
            </w:r>
          </w:p>
        </w:tc>
      </w:tr>
      <w:tr w14:paraId="2403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78" w:type="dxa"/>
            <w:vMerge w:val="continue"/>
            <w:noWrap w:val="0"/>
            <w:vAlign w:val="center"/>
          </w:tcPr>
          <w:p w14:paraId="0B49E1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szCs w:val="24"/>
                <w:highlight w:val="none"/>
              </w:rPr>
            </w:pPr>
          </w:p>
        </w:tc>
        <w:tc>
          <w:tcPr>
            <w:tcW w:w="1784" w:type="dxa"/>
            <w:noWrap/>
            <w:vAlign w:val="center"/>
          </w:tcPr>
          <w:p w14:paraId="07BA53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成本指标</w:t>
            </w:r>
          </w:p>
        </w:tc>
        <w:tc>
          <w:tcPr>
            <w:tcW w:w="2010" w:type="dxa"/>
            <w:shd w:val="clear" w:color="auto" w:fill="auto"/>
            <w:noWrap w:val="0"/>
            <w:vAlign w:val="center"/>
          </w:tcPr>
          <w:p w14:paraId="113F319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成本控制率</w:t>
            </w:r>
          </w:p>
        </w:tc>
        <w:tc>
          <w:tcPr>
            <w:tcW w:w="1305" w:type="dxa"/>
            <w:shd w:val="clear" w:color="auto" w:fill="auto"/>
            <w:noWrap/>
            <w:vAlign w:val="center"/>
          </w:tcPr>
          <w:p w14:paraId="4EDBE6A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90%-100%</w:t>
            </w:r>
          </w:p>
        </w:tc>
        <w:tc>
          <w:tcPr>
            <w:tcW w:w="1500" w:type="dxa"/>
            <w:noWrap/>
            <w:vAlign w:val="center"/>
          </w:tcPr>
          <w:p w14:paraId="635903A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w:t>
            </w:r>
          </w:p>
        </w:tc>
      </w:tr>
      <w:tr w14:paraId="67D3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78" w:type="dxa"/>
            <w:vMerge w:val="restart"/>
            <w:noWrap w:val="0"/>
            <w:vAlign w:val="center"/>
          </w:tcPr>
          <w:p w14:paraId="12796F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效益指标</w:t>
            </w:r>
          </w:p>
        </w:tc>
        <w:tc>
          <w:tcPr>
            <w:tcW w:w="1784" w:type="dxa"/>
            <w:noWrap/>
            <w:vAlign w:val="center"/>
          </w:tcPr>
          <w:p w14:paraId="6FC586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经济效益指标</w:t>
            </w:r>
          </w:p>
        </w:tc>
        <w:tc>
          <w:tcPr>
            <w:tcW w:w="2010" w:type="dxa"/>
            <w:shd w:val="clear" w:color="auto" w:fill="auto"/>
            <w:noWrap w:val="0"/>
            <w:vAlign w:val="center"/>
          </w:tcPr>
          <w:p w14:paraId="3DC6B49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不适用</w:t>
            </w:r>
          </w:p>
        </w:tc>
        <w:tc>
          <w:tcPr>
            <w:tcW w:w="1305" w:type="dxa"/>
            <w:shd w:val="clear" w:color="auto" w:fill="auto"/>
            <w:noWrap/>
            <w:vAlign w:val="center"/>
          </w:tcPr>
          <w:p w14:paraId="49FCBDC0">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不适用</w:t>
            </w:r>
          </w:p>
        </w:tc>
        <w:tc>
          <w:tcPr>
            <w:tcW w:w="1500" w:type="dxa"/>
            <w:shd w:val="clear" w:color="auto" w:fill="auto"/>
            <w:noWrap/>
            <w:vAlign w:val="center"/>
          </w:tcPr>
          <w:p w14:paraId="23095BC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不适用</w:t>
            </w:r>
          </w:p>
        </w:tc>
      </w:tr>
      <w:tr w14:paraId="5283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78" w:type="dxa"/>
            <w:vMerge w:val="continue"/>
            <w:noWrap w:val="0"/>
            <w:vAlign w:val="center"/>
          </w:tcPr>
          <w:p w14:paraId="026DC2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szCs w:val="24"/>
                <w:highlight w:val="none"/>
              </w:rPr>
            </w:pPr>
          </w:p>
        </w:tc>
        <w:tc>
          <w:tcPr>
            <w:tcW w:w="1784" w:type="dxa"/>
            <w:noWrap/>
            <w:vAlign w:val="center"/>
          </w:tcPr>
          <w:p w14:paraId="06DD1F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社会效益指标</w:t>
            </w:r>
          </w:p>
        </w:tc>
        <w:tc>
          <w:tcPr>
            <w:tcW w:w="2010" w:type="dxa"/>
            <w:shd w:val="clear" w:color="auto" w:fill="auto"/>
            <w:noWrap w:val="0"/>
            <w:vAlign w:val="center"/>
          </w:tcPr>
          <w:p w14:paraId="52C487B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新增辖区学前教育学位数</w:t>
            </w:r>
          </w:p>
        </w:tc>
        <w:tc>
          <w:tcPr>
            <w:tcW w:w="1305" w:type="dxa"/>
            <w:shd w:val="clear" w:color="auto" w:fill="auto"/>
            <w:noWrap/>
            <w:vAlign w:val="center"/>
          </w:tcPr>
          <w:p w14:paraId="65FB0A1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1000个</w:t>
            </w:r>
          </w:p>
        </w:tc>
        <w:tc>
          <w:tcPr>
            <w:tcW w:w="1500" w:type="dxa"/>
            <w:shd w:val="clear" w:color="auto" w:fill="auto"/>
            <w:noWrap/>
            <w:vAlign w:val="center"/>
          </w:tcPr>
          <w:p w14:paraId="61AF0327">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w:t>
            </w:r>
            <w:r>
              <w:rPr>
                <w:rFonts w:hint="eastAsia" w:ascii="仿宋_GB2312" w:hAnsi="仿宋_GB2312" w:eastAsia="仿宋_GB2312" w:cs="仿宋_GB2312"/>
                <w:color w:val="000000"/>
                <w:sz w:val="24"/>
                <w:szCs w:val="24"/>
                <w:lang w:val="en-US" w:eastAsia="zh-CN"/>
              </w:rPr>
              <w:t>20</w:t>
            </w:r>
            <w:r>
              <w:rPr>
                <w:rFonts w:hint="eastAsia" w:ascii="仿宋_GB2312" w:hAnsi="仿宋_GB2312" w:eastAsia="仿宋_GB2312" w:cs="仿宋_GB2312"/>
                <w:color w:val="000000"/>
                <w:sz w:val="24"/>
                <w:szCs w:val="24"/>
              </w:rPr>
              <w:t>个</w:t>
            </w:r>
          </w:p>
        </w:tc>
      </w:tr>
      <w:tr w14:paraId="7626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78" w:type="dxa"/>
            <w:vMerge w:val="continue"/>
            <w:noWrap w:val="0"/>
            <w:vAlign w:val="center"/>
          </w:tcPr>
          <w:p w14:paraId="5325FE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szCs w:val="24"/>
                <w:highlight w:val="none"/>
              </w:rPr>
            </w:pPr>
          </w:p>
        </w:tc>
        <w:tc>
          <w:tcPr>
            <w:tcW w:w="1784" w:type="dxa"/>
            <w:noWrap/>
            <w:vAlign w:val="center"/>
          </w:tcPr>
          <w:p w14:paraId="6EA7FC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生态效益指标</w:t>
            </w:r>
          </w:p>
        </w:tc>
        <w:tc>
          <w:tcPr>
            <w:tcW w:w="2010" w:type="dxa"/>
            <w:shd w:val="clear" w:color="auto" w:fill="auto"/>
            <w:noWrap w:val="0"/>
            <w:vAlign w:val="center"/>
          </w:tcPr>
          <w:p w14:paraId="3A8B262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不适用</w:t>
            </w:r>
          </w:p>
        </w:tc>
        <w:tc>
          <w:tcPr>
            <w:tcW w:w="1305" w:type="dxa"/>
            <w:shd w:val="clear" w:color="auto" w:fill="auto"/>
            <w:noWrap/>
            <w:vAlign w:val="center"/>
          </w:tcPr>
          <w:p w14:paraId="07893C7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不适用</w:t>
            </w:r>
          </w:p>
        </w:tc>
        <w:tc>
          <w:tcPr>
            <w:tcW w:w="1500" w:type="dxa"/>
            <w:shd w:val="clear" w:color="auto" w:fill="auto"/>
            <w:noWrap/>
            <w:vAlign w:val="center"/>
          </w:tcPr>
          <w:p w14:paraId="26B7B5F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不适用</w:t>
            </w:r>
          </w:p>
        </w:tc>
      </w:tr>
      <w:tr w14:paraId="19D5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78" w:type="dxa"/>
            <w:vMerge w:val="continue"/>
            <w:noWrap w:val="0"/>
            <w:vAlign w:val="center"/>
          </w:tcPr>
          <w:p w14:paraId="056995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szCs w:val="24"/>
                <w:highlight w:val="none"/>
              </w:rPr>
            </w:pPr>
          </w:p>
        </w:tc>
        <w:tc>
          <w:tcPr>
            <w:tcW w:w="1784" w:type="dxa"/>
            <w:noWrap/>
            <w:vAlign w:val="center"/>
          </w:tcPr>
          <w:p w14:paraId="43376E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可持续影响</w:t>
            </w:r>
          </w:p>
          <w:p w14:paraId="566EEB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指标</w:t>
            </w:r>
          </w:p>
        </w:tc>
        <w:tc>
          <w:tcPr>
            <w:tcW w:w="2010" w:type="dxa"/>
            <w:shd w:val="clear" w:color="auto" w:fill="auto"/>
            <w:noWrap w:val="0"/>
            <w:vAlign w:val="center"/>
          </w:tcPr>
          <w:p w14:paraId="52D643EC">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不适用</w:t>
            </w:r>
          </w:p>
        </w:tc>
        <w:tc>
          <w:tcPr>
            <w:tcW w:w="1305" w:type="dxa"/>
            <w:shd w:val="clear" w:color="auto" w:fill="auto"/>
            <w:noWrap/>
            <w:vAlign w:val="center"/>
          </w:tcPr>
          <w:p w14:paraId="5F31FCF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不适用</w:t>
            </w:r>
          </w:p>
        </w:tc>
        <w:tc>
          <w:tcPr>
            <w:tcW w:w="1500" w:type="dxa"/>
            <w:shd w:val="clear" w:color="auto" w:fill="auto"/>
            <w:noWrap/>
            <w:vAlign w:val="center"/>
          </w:tcPr>
          <w:p w14:paraId="5A3067D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不适用</w:t>
            </w:r>
          </w:p>
        </w:tc>
      </w:tr>
      <w:tr w14:paraId="5271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78" w:type="dxa"/>
            <w:vMerge w:val="continue"/>
            <w:noWrap w:val="0"/>
            <w:vAlign w:val="center"/>
          </w:tcPr>
          <w:p w14:paraId="6CB572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szCs w:val="24"/>
                <w:highlight w:val="none"/>
              </w:rPr>
            </w:pPr>
          </w:p>
        </w:tc>
        <w:tc>
          <w:tcPr>
            <w:tcW w:w="1784" w:type="dxa"/>
            <w:noWrap w:val="0"/>
            <w:vAlign w:val="center"/>
          </w:tcPr>
          <w:p w14:paraId="0C0B1B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服务对象</w:t>
            </w:r>
          </w:p>
          <w:p w14:paraId="6F2CFD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满意度指标</w:t>
            </w:r>
          </w:p>
        </w:tc>
        <w:tc>
          <w:tcPr>
            <w:tcW w:w="2010" w:type="dxa"/>
            <w:shd w:val="clear" w:color="auto" w:fill="auto"/>
            <w:noWrap w:val="0"/>
            <w:vAlign w:val="center"/>
          </w:tcPr>
          <w:p w14:paraId="16CA5CAD">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师生、家长满意度</w:t>
            </w:r>
          </w:p>
        </w:tc>
        <w:tc>
          <w:tcPr>
            <w:tcW w:w="1305" w:type="dxa"/>
            <w:shd w:val="clear" w:color="auto" w:fill="auto"/>
            <w:noWrap/>
            <w:vAlign w:val="center"/>
          </w:tcPr>
          <w:p w14:paraId="394E39C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≥95%</w:t>
            </w:r>
          </w:p>
        </w:tc>
        <w:tc>
          <w:tcPr>
            <w:tcW w:w="1500" w:type="dxa"/>
            <w:shd w:val="clear" w:color="auto" w:fill="auto"/>
            <w:noWrap/>
            <w:vAlign w:val="center"/>
          </w:tcPr>
          <w:p w14:paraId="130CC5D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96.1%</w:t>
            </w:r>
          </w:p>
        </w:tc>
      </w:tr>
      <w:tr w14:paraId="6DDD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578" w:type="dxa"/>
            <w:vMerge w:val="restart"/>
            <w:noWrap w:val="0"/>
            <w:vAlign w:val="center"/>
          </w:tcPr>
          <w:p w14:paraId="2630AF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偿债风险指标</w:t>
            </w:r>
          </w:p>
        </w:tc>
        <w:tc>
          <w:tcPr>
            <w:tcW w:w="1784" w:type="dxa"/>
            <w:noWrap w:val="0"/>
            <w:vAlign w:val="center"/>
          </w:tcPr>
          <w:p w14:paraId="2CD424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年度收支</w:t>
            </w:r>
          </w:p>
          <w:p w14:paraId="41928F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平衡指标</w:t>
            </w:r>
          </w:p>
        </w:tc>
        <w:tc>
          <w:tcPr>
            <w:tcW w:w="2010" w:type="dxa"/>
            <w:noWrap w:val="0"/>
            <w:vAlign w:val="center"/>
          </w:tcPr>
          <w:p w14:paraId="2598F78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年末息前税后净现金流/当年还本付息金额</w:t>
            </w:r>
          </w:p>
        </w:tc>
        <w:tc>
          <w:tcPr>
            <w:tcW w:w="1305" w:type="dxa"/>
            <w:shd w:val="clear" w:color="auto" w:fill="auto"/>
            <w:noWrap/>
            <w:vAlign w:val="center"/>
          </w:tcPr>
          <w:p w14:paraId="7C0C00D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sz w:val="24"/>
                <w:szCs w:val="24"/>
              </w:rPr>
              <w:t>1.38</w:t>
            </w:r>
          </w:p>
        </w:tc>
        <w:tc>
          <w:tcPr>
            <w:tcW w:w="1500" w:type="dxa"/>
            <w:noWrap/>
            <w:vAlign w:val="center"/>
          </w:tcPr>
          <w:p w14:paraId="7F59AC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2.5</w:t>
            </w:r>
          </w:p>
        </w:tc>
      </w:tr>
      <w:tr w14:paraId="45BA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578" w:type="dxa"/>
            <w:vMerge w:val="continue"/>
            <w:noWrap w:val="0"/>
            <w:vAlign w:val="center"/>
          </w:tcPr>
          <w:p w14:paraId="265123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highlight w:val="none"/>
              </w:rPr>
            </w:pPr>
          </w:p>
        </w:tc>
        <w:tc>
          <w:tcPr>
            <w:tcW w:w="1784" w:type="dxa"/>
            <w:noWrap w:val="0"/>
            <w:vAlign w:val="center"/>
          </w:tcPr>
          <w:p w14:paraId="23C4E2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还本付息</w:t>
            </w:r>
          </w:p>
          <w:p w14:paraId="341CAF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指标</w:t>
            </w:r>
          </w:p>
        </w:tc>
        <w:tc>
          <w:tcPr>
            <w:tcW w:w="2010" w:type="dxa"/>
            <w:noWrap w:val="0"/>
            <w:vAlign w:val="center"/>
          </w:tcPr>
          <w:p w14:paraId="21F9CF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还本付息</w:t>
            </w:r>
            <w:r>
              <w:rPr>
                <w:rFonts w:hint="eastAsia" w:ascii="仿宋_GB2312" w:hAnsi="仿宋_GB2312" w:eastAsia="仿宋_GB2312" w:cs="仿宋_GB2312"/>
                <w:color w:val="000000"/>
                <w:kern w:val="0"/>
                <w:sz w:val="24"/>
                <w:szCs w:val="24"/>
                <w:highlight w:val="none"/>
                <w:lang w:eastAsia="zh-CN"/>
              </w:rPr>
              <w:t>执行</w:t>
            </w:r>
            <w:r>
              <w:rPr>
                <w:rFonts w:hint="eastAsia" w:ascii="仿宋_GB2312" w:hAnsi="仿宋_GB2312" w:eastAsia="仿宋_GB2312" w:cs="仿宋_GB2312"/>
                <w:color w:val="000000"/>
                <w:kern w:val="0"/>
                <w:sz w:val="24"/>
                <w:szCs w:val="24"/>
                <w:highlight w:val="none"/>
              </w:rPr>
              <w:t>率</w:t>
            </w:r>
            <w:r>
              <w:rPr>
                <w:rFonts w:hint="eastAsia" w:ascii="仿宋_GB2312" w:hAnsi="仿宋_GB2312" w:eastAsia="仿宋_GB2312" w:cs="仿宋_GB2312"/>
                <w:color w:val="000000"/>
                <w:kern w:val="0"/>
                <w:sz w:val="24"/>
                <w:szCs w:val="24"/>
                <w:highlight w:val="none"/>
                <w:lang w:val="en-US" w:eastAsia="zh-CN"/>
              </w:rPr>
              <w:t>=当年实际还本付息金额/当年应还本付息金额</w:t>
            </w:r>
            <w:r>
              <w:rPr>
                <w:rFonts w:hint="eastAsia" w:ascii="仿宋_GB2312" w:hAnsi="仿宋_GB2312" w:eastAsia="仿宋_GB2312" w:cs="仿宋_GB2312"/>
                <w:color w:val="000000"/>
                <w:kern w:val="0"/>
                <w:sz w:val="24"/>
                <w:szCs w:val="24"/>
                <w:highlight w:val="none"/>
              </w:rPr>
              <w:t>（%）</w:t>
            </w:r>
          </w:p>
        </w:tc>
        <w:tc>
          <w:tcPr>
            <w:tcW w:w="1305" w:type="dxa"/>
            <w:shd w:val="clear" w:color="auto" w:fill="auto"/>
            <w:noWrap/>
            <w:vAlign w:val="center"/>
          </w:tcPr>
          <w:p w14:paraId="13FCA4F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100%</w:t>
            </w:r>
          </w:p>
        </w:tc>
        <w:tc>
          <w:tcPr>
            <w:tcW w:w="1500" w:type="dxa"/>
            <w:noWrap/>
            <w:vAlign w:val="center"/>
          </w:tcPr>
          <w:p w14:paraId="375291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100%</w:t>
            </w:r>
          </w:p>
        </w:tc>
      </w:tr>
    </w:tbl>
    <w:p w14:paraId="14BDA168">
      <w:pPr>
        <w:pStyle w:val="13"/>
      </w:pPr>
    </w:p>
    <w:p w14:paraId="050E2B56">
      <w:pPr>
        <w:spacing w:line="575" w:lineRule="exact"/>
        <w:ind w:firstLine="640" w:firstLineChars="200"/>
        <w:rPr>
          <w:rFonts w:ascii="黑体" w:hAnsi="黑体" w:eastAsia="黑体" w:cs="Times New Roman"/>
          <w:sz w:val="32"/>
          <w:szCs w:val="32"/>
        </w:rPr>
      </w:pPr>
      <w:r>
        <w:rPr>
          <w:rFonts w:hint="eastAsia" w:ascii="黑体" w:hAnsi="黑体" w:eastAsia="黑体" w:cs="黑体"/>
          <w:sz w:val="32"/>
          <w:szCs w:val="32"/>
        </w:rPr>
        <w:t>二、绩效评价工作开展情况</w:t>
      </w:r>
    </w:p>
    <w:p w14:paraId="2486C7FF">
      <w:pPr>
        <w:spacing w:line="575"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（一）绩效评价目的和对象</w:t>
      </w:r>
    </w:p>
    <w:p w14:paraId="0417736A">
      <w:pPr>
        <w:spacing w:line="575"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1.绩效评价的目的</w:t>
      </w:r>
    </w:p>
    <w:p w14:paraId="0FDDD004">
      <w:pPr>
        <w:overflowPunct w:val="0"/>
        <w:adjustRightInd w:val="0"/>
        <w:snapToGrid w:val="0"/>
        <w:spacing w:line="560" w:lineRule="exact"/>
        <w:ind w:firstLine="643" w:firstLineChars="200"/>
      </w:pPr>
      <w:r>
        <w:rPr>
          <w:rFonts w:hint="eastAsia" w:ascii="Times New Roman" w:hAnsi="Times New Roman" w:eastAsia="仿宋_GB2312" w:cs="Times New Roman"/>
          <w:b/>
          <w:bCs/>
          <w:sz w:val="32"/>
          <w:szCs w:val="32"/>
        </w:rPr>
        <w:t>一是</w:t>
      </w:r>
      <w:r>
        <w:rPr>
          <w:rFonts w:hint="eastAsia" w:ascii="Times New Roman" w:hAnsi="Times New Roman" w:eastAsia="仿宋_GB2312" w:cs="Times New Roman"/>
          <w:sz w:val="32"/>
          <w:szCs w:val="32"/>
        </w:rPr>
        <w:t>依据相关政策及制度依据，</w:t>
      </w:r>
      <w:r>
        <w:rPr>
          <w:rFonts w:ascii="Times New Roman" w:hAnsi="Times New Roman" w:eastAsia="仿宋_GB2312" w:cs="Times New Roman"/>
          <w:sz w:val="32"/>
          <w:szCs w:val="32"/>
        </w:rPr>
        <w:t>坚持“举债必问效、无效必问责”</w:t>
      </w:r>
      <w:r>
        <w:rPr>
          <w:rFonts w:hint="eastAsia" w:ascii="Times New Roman" w:hAnsi="Times New Roman" w:eastAsia="仿宋_GB2312" w:cs="Times New Roman"/>
          <w:sz w:val="32"/>
          <w:szCs w:val="32"/>
        </w:rPr>
        <w:t>的原则</w:t>
      </w:r>
      <w:r>
        <w:rPr>
          <w:rFonts w:ascii="Times New Roman" w:hAnsi="Times New Roman" w:eastAsia="仿宋_GB2312" w:cs="Times New Roman"/>
          <w:sz w:val="32"/>
          <w:szCs w:val="32"/>
        </w:rPr>
        <w:t>，遵循项目支出绩效管理的基本要求，注重融资收益平衡与偿债风险</w:t>
      </w:r>
      <w:r>
        <w:rPr>
          <w:rFonts w:hint="eastAsia" w:ascii="Times New Roman" w:hAnsi="Times New Roman" w:eastAsia="仿宋_GB2312" w:cs="Times New Roman"/>
          <w:sz w:val="32"/>
          <w:szCs w:val="32"/>
        </w:rPr>
        <w:t>，从</w:t>
      </w:r>
      <w:r>
        <w:rPr>
          <w:rFonts w:ascii="Times New Roman" w:hAnsi="Times New Roman" w:eastAsia="仿宋_GB2312" w:cs="Times New Roman"/>
          <w:sz w:val="32"/>
          <w:szCs w:val="32"/>
        </w:rPr>
        <w:t>债券融资的必要性、发债规模、发行节奏、发行成本与效率</w:t>
      </w:r>
      <w:r>
        <w:rPr>
          <w:rFonts w:hint="eastAsia" w:ascii="Times New Roman" w:hAnsi="Times New Roman" w:eastAsia="仿宋_GB2312" w:cs="Times New Roman"/>
          <w:sz w:val="32"/>
          <w:szCs w:val="32"/>
        </w:rPr>
        <w:t>、偿债能力等方面，提升债券</w:t>
      </w:r>
      <w:r>
        <w:rPr>
          <w:rFonts w:ascii="Times New Roman" w:hAnsi="Times New Roman" w:eastAsia="仿宋_GB2312" w:cs="Times New Roman"/>
          <w:sz w:val="32"/>
          <w:szCs w:val="32"/>
        </w:rPr>
        <w:t>融资方案的合理性、专业性和可行性</w:t>
      </w:r>
      <w:r>
        <w:rPr>
          <w:rFonts w:hint="eastAsia" w:ascii="Times New Roman" w:hAnsi="Times New Roman" w:eastAsia="仿宋_GB2312" w:cs="Times New Roman"/>
          <w:sz w:val="32"/>
          <w:szCs w:val="32"/>
        </w:rPr>
        <w:t>。</w:t>
      </w:r>
      <w:r>
        <w:rPr>
          <w:rFonts w:hint="eastAsia" w:ascii="Times New Roman" w:hAnsi="Times New Roman" w:eastAsia="仿宋_GB2312" w:cs="Times New Roman"/>
          <w:b/>
          <w:bCs/>
          <w:sz w:val="32"/>
          <w:szCs w:val="32"/>
        </w:rPr>
        <w:t>二是</w:t>
      </w:r>
      <w:r>
        <w:rPr>
          <w:rFonts w:hint="eastAsia" w:ascii="Times New Roman" w:hAnsi="Times New Roman" w:eastAsia="仿宋_GB2312" w:cs="Times New Roman"/>
          <w:sz w:val="32"/>
          <w:szCs w:val="32"/>
        </w:rPr>
        <w:t>充分融合考察债券端和项目端的绩效管理情况，从</w:t>
      </w:r>
      <w:r>
        <w:rPr>
          <w:rFonts w:ascii="Times New Roman" w:hAnsi="Times New Roman" w:eastAsia="仿宋_GB2312" w:cs="Times New Roman"/>
          <w:sz w:val="32"/>
          <w:szCs w:val="32"/>
        </w:rPr>
        <w:t>项目实施</w:t>
      </w:r>
      <w:r>
        <w:rPr>
          <w:rFonts w:hint="eastAsia" w:ascii="Times New Roman" w:hAnsi="Times New Roman" w:eastAsia="仿宋_GB2312" w:cs="Times New Roman"/>
          <w:sz w:val="32"/>
          <w:szCs w:val="32"/>
        </w:rPr>
        <w:t>、社会效益等角度，评价设备购置工作的开展效果，总结成效和经验做法，针对评价过程中发现的问题，以紧密贴合专项债券项目政策要求和盐田区实际情况为前提，提出改进建议，提高政府专项债券项目资金使用效益。</w:t>
      </w:r>
    </w:p>
    <w:p w14:paraId="2FA3DC16">
      <w:pPr>
        <w:spacing w:line="575"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2.绩效评价的对象</w:t>
      </w:r>
    </w:p>
    <w:p w14:paraId="6F771B0C">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本次评价对象为202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深圳市</w:t>
      </w:r>
      <w:r>
        <w:rPr>
          <w:rFonts w:hint="eastAsia" w:ascii="仿宋_GB2312" w:hAnsi="Times New Roman" w:eastAsia="仿宋_GB2312" w:cs="Times New Roman"/>
          <w:sz w:val="32"/>
          <w:szCs w:val="32"/>
        </w:rPr>
        <w:t>盐田区幼儿园建设项目</w:t>
      </w:r>
      <w:r>
        <w:rPr>
          <w:rFonts w:hint="eastAsia" w:ascii="仿宋_GB2312" w:hAnsi="Times New Roman" w:eastAsia="仿宋_GB2312" w:cs="Times New Roman"/>
          <w:sz w:val="32"/>
          <w:szCs w:val="32"/>
          <w:lang w:eastAsia="zh-CN"/>
        </w:rPr>
        <w:t>（续发）</w:t>
      </w:r>
      <w:r>
        <w:rPr>
          <w:rFonts w:hint="eastAsia" w:ascii="仿宋_GB2312" w:hAnsi="Times New Roman" w:eastAsia="仿宋_GB2312" w:cs="Times New Roman"/>
          <w:sz w:val="32"/>
          <w:szCs w:val="32"/>
        </w:rPr>
        <w:t>专项债券，重点为</w:t>
      </w:r>
      <w:r>
        <w:rPr>
          <w:rFonts w:hint="eastAsia" w:ascii="仿宋_GB2312" w:eastAsia="仿宋_GB2312" w:cs="仿宋_GB2312"/>
          <w:sz w:val="32"/>
          <w:szCs w:val="32"/>
        </w:rPr>
        <w:t>港嵘拔萃园配套幼儿园装修工程及设备购置项目、山海四季城二期配套幼儿园装修工程及设备购置项目、鹏瑞尚府配套幼儿园装修工程及设备购置项目，</w:t>
      </w:r>
      <w:r>
        <w:rPr>
          <w:rFonts w:hint="eastAsia" w:ascii="仿宋_GB2312" w:hAnsi="Times New Roman" w:eastAsia="仿宋_GB2312" w:cs="Times New Roman"/>
          <w:sz w:val="32"/>
          <w:szCs w:val="32"/>
        </w:rPr>
        <w:t>专项债券规模</w:t>
      </w:r>
      <w:r>
        <w:rPr>
          <w:rFonts w:hint="eastAsia" w:ascii="仿宋_GB2312" w:hAnsi="Times New Roman" w:eastAsia="仿宋_GB2312" w:cs="Times New Roman"/>
          <w:sz w:val="32"/>
          <w:szCs w:val="32"/>
          <w:lang w:val="en-US" w:eastAsia="zh-CN"/>
        </w:rPr>
        <w:t>1</w:t>
      </w:r>
      <w:r>
        <w:rPr>
          <w:rFonts w:hint="default"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00万元，实际支出</w:t>
      </w:r>
      <w:r>
        <w:rPr>
          <w:rFonts w:hint="eastAsia" w:ascii="仿宋_GB2312" w:hAnsi="Times New Roman" w:eastAsia="仿宋_GB2312" w:cs="Times New Roman"/>
          <w:sz w:val="32"/>
          <w:szCs w:val="32"/>
          <w:lang w:val="en-US" w:eastAsia="zh-CN"/>
        </w:rPr>
        <w:t>1</w:t>
      </w:r>
      <w:r>
        <w:rPr>
          <w:rFonts w:hint="default"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00万元。</w:t>
      </w:r>
    </w:p>
    <w:p w14:paraId="7A7F13E4">
      <w:pPr>
        <w:spacing w:line="575"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（二）绩效评价指标体系（见附表）</w:t>
      </w:r>
    </w:p>
    <w:p w14:paraId="0730C0B5">
      <w:pPr>
        <w:spacing w:line="575"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1.评价指标体系</w:t>
      </w:r>
    </w:p>
    <w:p w14:paraId="4EABB2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绩效评价以公平性、经济性、效果性为原则，综合运用比较分析法、因素分析法、成本效益分析法等评价方法，并从“决策-管理-产出-效益”维度构建绩效评价指标体系，在全面了解项目实施情况的前提下，从项目决策、项目管理、项目产出以及项目效益等方面对项目实施及专项债券资金使用开展绩效评价。</w:t>
      </w:r>
    </w:p>
    <w:p w14:paraId="67BF6252">
      <w:pPr>
        <w:spacing w:line="560" w:lineRule="exact"/>
        <w:ind w:firstLine="640" w:firstLineChars="200"/>
        <w:rPr>
          <w:rFonts w:ascii="仿宋_GB2312" w:eastAsia="仿宋_GB2312"/>
        </w:rPr>
      </w:pPr>
      <w:r>
        <w:rPr>
          <w:rFonts w:hint="eastAsia" w:ascii="仿宋_GB2312" w:hAnsi="Times New Roman" w:eastAsia="仿宋_GB2312" w:cs="Times New Roman"/>
          <w:sz w:val="32"/>
          <w:szCs w:val="32"/>
        </w:rPr>
        <w:t>项目评价指标体系为100分制</w:t>
      </w:r>
      <w:r>
        <w:rPr>
          <w:rFonts w:hint="eastAsia" w:ascii="仿宋_GB2312" w:hAnsi="Times New Roman" w:eastAsia="仿宋_GB2312" w:cs="Times New Roman"/>
          <w:sz w:val="32"/>
          <w:szCs w:val="32"/>
          <w:lang w:val="zh-TW"/>
        </w:rPr>
        <w:t>，共设置了决策、</w:t>
      </w:r>
      <w:r>
        <w:rPr>
          <w:rFonts w:hint="eastAsia" w:ascii="仿宋_GB2312" w:hAnsi="Times New Roman" w:eastAsia="仿宋_GB2312" w:cs="Times New Roman"/>
          <w:sz w:val="32"/>
          <w:szCs w:val="32"/>
        </w:rPr>
        <w:t>管理</w:t>
      </w:r>
      <w:r>
        <w:rPr>
          <w:rFonts w:hint="eastAsia" w:ascii="仿宋_GB2312" w:hAnsi="Times New Roman" w:eastAsia="仿宋_GB2312" w:cs="Times New Roman"/>
          <w:sz w:val="32"/>
          <w:szCs w:val="32"/>
          <w:lang w:val="zh-TW"/>
        </w:rPr>
        <w:t>、产出、效益等</w:t>
      </w: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val="zh-TW"/>
        </w:rPr>
        <w:t>个一级指标，以及项目立项、资金管理、产出数量等</w:t>
      </w:r>
      <w:r>
        <w:rPr>
          <w:rFonts w:hint="eastAsia" w:ascii="仿宋_GB2312" w:hAnsi="Times New Roman" w:eastAsia="仿宋_GB2312" w:cs="Times New Roman"/>
          <w:sz w:val="32"/>
          <w:szCs w:val="32"/>
        </w:rPr>
        <w:t>15</w:t>
      </w:r>
      <w:r>
        <w:rPr>
          <w:rFonts w:hint="eastAsia" w:ascii="仿宋_GB2312" w:hAnsi="Times New Roman" w:eastAsia="仿宋_GB2312" w:cs="Times New Roman"/>
          <w:sz w:val="32"/>
          <w:szCs w:val="32"/>
          <w:lang w:val="zh-TW"/>
        </w:rPr>
        <w:t>个二级指标。本次绩效评价标准是依据绩效评价基本原理，分别按照计划标准、历史标准、通用标准等制定，分为定性指标和定量指标。定性指标，通过</w:t>
      </w:r>
      <w:r>
        <w:rPr>
          <w:rFonts w:hint="eastAsia" w:ascii="仿宋_GB2312" w:hAnsi="Times New Roman" w:eastAsia="仿宋_GB2312" w:cs="Times New Roman"/>
          <w:sz w:val="32"/>
          <w:szCs w:val="32"/>
          <w:lang w:val="zh-TW" w:eastAsia="zh-CN"/>
        </w:rPr>
        <w:t>问卷</w:t>
      </w:r>
      <w:r>
        <w:rPr>
          <w:rFonts w:hint="eastAsia" w:ascii="仿宋_GB2312" w:hAnsi="Times New Roman" w:eastAsia="仿宋_GB2312" w:cs="Times New Roman"/>
          <w:sz w:val="32"/>
          <w:szCs w:val="32"/>
          <w:lang w:val="zh-TW"/>
        </w:rPr>
        <w:t>等方式采集相关数据，在实施过程中运用等级描述法进行考核；定量指标是通过准确数量定义、精确衡量并能设定绩效目标的考核指标。</w:t>
      </w:r>
    </w:p>
    <w:p w14:paraId="2DC8018A">
      <w:pPr>
        <w:spacing w:line="575"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2.评价标准</w:t>
      </w:r>
    </w:p>
    <w:p w14:paraId="528437F8">
      <w:pPr>
        <w:spacing w:line="575" w:lineRule="exact"/>
        <w:ind w:firstLine="640" w:firstLineChars="200"/>
        <w:rPr>
          <w:rFonts w:ascii="楷体_GB2312" w:eastAsia="楷体_GB2312" w:cs="楷体_GB2312"/>
          <w:sz w:val="32"/>
          <w:szCs w:val="32"/>
        </w:rPr>
      </w:pPr>
      <w:r>
        <w:rPr>
          <w:rFonts w:ascii="Times New Roman" w:hAnsi="Times New Roman" w:eastAsia="仿宋_GB2312" w:cs="Times New Roman"/>
          <w:sz w:val="32"/>
          <w:szCs w:val="32"/>
          <w:lang w:val="zh-TW"/>
        </w:rPr>
        <w:t>本次绩效评价标准为国家、深圳市、盐田区有关专项债券、政府投资项目等法律法规、规章制度；</w:t>
      </w:r>
      <w:r>
        <w:rPr>
          <w:rFonts w:hint="eastAsia" w:ascii="Times New Roman" w:hAnsi="Times New Roman" w:eastAsia="仿宋_GB2312" w:cs="Times New Roman"/>
          <w:sz w:val="32"/>
          <w:szCs w:val="32"/>
          <w:lang w:val="zh-TW"/>
        </w:rPr>
        <w:t>设备采购</w:t>
      </w:r>
      <w:r>
        <w:rPr>
          <w:rFonts w:ascii="Times New Roman" w:hAnsi="Times New Roman" w:eastAsia="仿宋_GB2312" w:cs="Times New Roman"/>
          <w:sz w:val="32"/>
          <w:szCs w:val="32"/>
          <w:lang w:val="zh-TW"/>
        </w:rPr>
        <w:t>招投标</w:t>
      </w:r>
      <w:r>
        <w:rPr>
          <w:rFonts w:hint="eastAsia" w:ascii="Times New Roman" w:hAnsi="Times New Roman" w:eastAsia="仿宋_GB2312" w:cs="Times New Roman"/>
          <w:sz w:val="32"/>
          <w:szCs w:val="32"/>
          <w:lang w:val="zh-TW"/>
        </w:rPr>
        <w:t>及</w:t>
      </w:r>
      <w:r>
        <w:rPr>
          <w:rFonts w:ascii="Times New Roman" w:hAnsi="Times New Roman" w:eastAsia="仿宋_GB2312" w:cs="Times New Roman"/>
          <w:sz w:val="32"/>
          <w:szCs w:val="32"/>
          <w:lang w:val="zh-TW"/>
        </w:rPr>
        <w:t>合同</w:t>
      </w:r>
      <w:r>
        <w:rPr>
          <w:rFonts w:hint="eastAsia" w:ascii="Times New Roman" w:hAnsi="Times New Roman" w:eastAsia="仿宋_GB2312" w:cs="Times New Roman"/>
          <w:sz w:val="32"/>
          <w:szCs w:val="32"/>
          <w:lang w:val="zh-TW"/>
        </w:rPr>
        <w:t>等</w:t>
      </w:r>
      <w:r>
        <w:rPr>
          <w:rFonts w:ascii="Times New Roman" w:hAnsi="Times New Roman" w:eastAsia="仿宋_GB2312" w:cs="Times New Roman"/>
          <w:sz w:val="32"/>
          <w:szCs w:val="32"/>
          <w:lang w:val="zh-TW"/>
        </w:rPr>
        <w:t>相关文件；预算绩效管理有关制度办法等</w:t>
      </w:r>
      <w:r>
        <w:rPr>
          <w:rFonts w:hint="eastAsia" w:ascii="Times New Roman" w:hAnsi="Times New Roman" w:eastAsia="仿宋_GB2312" w:cs="Times New Roman"/>
          <w:sz w:val="32"/>
          <w:szCs w:val="32"/>
          <w:lang w:val="zh-TW"/>
        </w:rPr>
        <w:t>。</w:t>
      </w:r>
    </w:p>
    <w:p w14:paraId="351D9D7B">
      <w:pPr>
        <w:spacing w:line="575"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3.评价方法</w:t>
      </w:r>
    </w:p>
    <w:p w14:paraId="31586987">
      <w:pPr>
        <w:spacing w:line="575" w:lineRule="exact"/>
        <w:ind w:firstLine="640" w:firstLineChars="200"/>
      </w:pPr>
      <w:r>
        <w:rPr>
          <w:rFonts w:ascii="Times New Roman" w:hAnsi="Times New Roman" w:eastAsia="仿宋_GB2312" w:cs="Times New Roman"/>
          <w:sz w:val="32"/>
          <w:szCs w:val="32"/>
          <w:lang w:val="zh-TW"/>
        </w:rPr>
        <w:t>基于项目的特点，主要采用现场评价法、比较法、因素分析法等方法开展本次绩效评价工作。</w:t>
      </w:r>
    </w:p>
    <w:p w14:paraId="5116C4B2">
      <w:pPr>
        <w:spacing w:line="575"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（三）绩效评价工作过程</w:t>
      </w:r>
    </w:p>
    <w:p w14:paraId="68834AE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为确保项目绩效评价工作的顺利实施，</w:t>
      </w:r>
      <w:r>
        <w:rPr>
          <w:rFonts w:hint="eastAsia" w:ascii="Times New Roman" w:hAnsi="Times New Roman" w:eastAsia="仿宋_GB2312" w:cs="Times New Roman"/>
          <w:sz w:val="32"/>
          <w:szCs w:val="32"/>
        </w:rPr>
        <w:t>本次评价</w:t>
      </w:r>
      <w:r>
        <w:rPr>
          <w:rFonts w:ascii="Times New Roman" w:hAnsi="Times New Roman" w:eastAsia="仿宋_GB2312" w:cs="Times New Roman"/>
          <w:sz w:val="32"/>
          <w:szCs w:val="32"/>
        </w:rPr>
        <w:t>遵循特定的操作流程，具体包括前期准备、实施评价、提交报告三个阶段。</w:t>
      </w:r>
    </w:p>
    <w:p w14:paraId="7FAD81A0">
      <w:pPr>
        <w:spacing w:line="575"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1.准备阶段</w:t>
      </w:r>
    </w:p>
    <w:p w14:paraId="42E6938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通过搜集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梳理</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关规章制度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项目资金</w:t>
      </w:r>
      <w:r>
        <w:rPr>
          <w:rFonts w:ascii="Times New Roman" w:hAnsi="Times New Roman" w:eastAsia="仿宋_GB2312" w:cs="Times New Roman"/>
          <w:sz w:val="32"/>
          <w:szCs w:val="32"/>
        </w:rPr>
        <w:t>安排及执行情况、</w:t>
      </w:r>
      <w:r>
        <w:rPr>
          <w:rFonts w:hint="eastAsia" w:ascii="Times New Roman" w:hAnsi="Times New Roman" w:eastAsia="仿宋_GB2312" w:cs="Times New Roman"/>
          <w:sz w:val="32"/>
          <w:szCs w:val="32"/>
        </w:rPr>
        <w:t>设备购置</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rPr>
        <w:t>、工程实施</w:t>
      </w:r>
      <w:r>
        <w:rPr>
          <w:rFonts w:ascii="Times New Roman" w:hAnsi="Times New Roman" w:eastAsia="仿宋_GB2312" w:cs="Times New Roman"/>
          <w:sz w:val="32"/>
          <w:szCs w:val="32"/>
        </w:rPr>
        <w:t>及核心绩效目标等基本情况，形成本次绩效评价工作思路，并在此基础上撰写绩效评价方案，初步构建绩效评价指标体系。</w:t>
      </w:r>
    </w:p>
    <w:p w14:paraId="0888CE77">
      <w:pPr>
        <w:spacing w:line="575"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2.实施阶段</w:t>
      </w:r>
    </w:p>
    <w:p w14:paraId="4D76E905">
      <w:pPr>
        <w:spacing w:line="560" w:lineRule="exact"/>
        <w:ind w:firstLine="643" w:firstLineChars="200"/>
        <w:rPr>
          <w:rFonts w:hint="eastAsia" w:eastAsia="仿宋_GB2312"/>
          <w:sz w:val="32"/>
          <w:szCs w:val="32"/>
          <w:lang w:eastAsia="zh-CN"/>
        </w:rPr>
      </w:pPr>
      <w:r>
        <w:rPr>
          <w:rFonts w:eastAsia="仿宋_GB2312"/>
          <w:b/>
          <w:bCs/>
          <w:sz w:val="32"/>
          <w:szCs w:val="32"/>
        </w:rPr>
        <w:t>一是</w:t>
      </w:r>
      <w:r>
        <w:rPr>
          <w:rFonts w:eastAsia="仿宋_GB2312"/>
          <w:sz w:val="32"/>
          <w:szCs w:val="32"/>
        </w:rPr>
        <w:t>现场调研。与相关负责人员进行细节访谈，进一步了解相关业务的开展模式和实施流程，对重点采购设备安装与使用情况进行详细了解</w:t>
      </w:r>
      <w:r>
        <w:rPr>
          <w:rFonts w:hint="eastAsia" w:eastAsia="仿宋_GB2312"/>
          <w:sz w:val="32"/>
          <w:szCs w:val="32"/>
        </w:rPr>
        <w:t>。</w:t>
      </w:r>
      <w:r>
        <w:rPr>
          <w:rFonts w:eastAsia="仿宋_GB2312"/>
          <w:b/>
          <w:bCs/>
          <w:sz w:val="32"/>
          <w:szCs w:val="32"/>
        </w:rPr>
        <w:t>二是</w:t>
      </w:r>
      <w:r>
        <w:rPr>
          <w:rFonts w:eastAsia="仿宋_GB2312"/>
          <w:sz w:val="32"/>
          <w:szCs w:val="32"/>
        </w:rPr>
        <w:t>查看设备采购</w:t>
      </w:r>
      <w:r>
        <w:rPr>
          <w:rFonts w:hint="eastAsia" w:eastAsia="仿宋_GB2312"/>
          <w:sz w:val="32"/>
          <w:szCs w:val="32"/>
        </w:rPr>
        <w:t>合同、工程施工合同等</w:t>
      </w:r>
      <w:r>
        <w:rPr>
          <w:rFonts w:eastAsia="仿宋_GB2312"/>
          <w:sz w:val="32"/>
          <w:szCs w:val="32"/>
        </w:rPr>
        <w:t>。根据绩效评价关注重点，查看对应项目的管理情况和财务管理情况</w:t>
      </w:r>
      <w:r>
        <w:rPr>
          <w:rFonts w:hint="eastAsia" w:eastAsia="仿宋_GB2312"/>
          <w:sz w:val="32"/>
          <w:szCs w:val="32"/>
        </w:rPr>
        <w:t>。</w:t>
      </w:r>
      <w:r>
        <w:rPr>
          <w:rFonts w:eastAsia="仿宋_GB2312"/>
          <w:b/>
          <w:bCs/>
          <w:sz w:val="32"/>
          <w:szCs w:val="32"/>
        </w:rPr>
        <w:t>三是</w:t>
      </w:r>
      <w:r>
        <w:rPr>
          <w:rFonts w:eastAsia="仿宋_GB2312"/>
          <w:sz w:val="32"/>
          <w:szCs w:val="32"/>
        </w:rPr>
        <w:t>延伸评价。结合</w:t>
      </w:r>
      <w:r>
        <w:rPr>
          <w:rFonts w:hint="eastAsia" w:eastAsia="仿宋_GB2312"/>
          <w:sz w:val="32"/>
          <w:szCs w:val="32"/>
        </w:rPr>
        <w:t>获得的</w:t>
      </w:r>
      <w:r>
        <w:rPr>
          <w:rFonts w:eastAsia="仿宋_GB2312"/>
          <w:sz w:val="32"/>
          <w:szCs w:val="32"/>
        </w:rPr>
        <w:t>项目</w:t>
      </w:r>
      <w:r>
        <w:rPr>
          <w:rFonts w:hint="eastAsia" w:eastAsia="仿宋_GB2312"/>
          <w:sz w:val="32"/>
          <w:szCs w:val="32"/>
        </w:rPr>
        <w:t>资料</w:t>
      </w:r>
      <w:r>
        <w:rPr>
          <w:rFonts w:eastAsia="仿宋_GB2312"/>
          <w:sz w:val="32"/>
          <w:szCs w:val="32"/>
        </w:rPr>
        <w:t>，通过</w:t>
      </w:r>
      <w:r>
        <w:rPr>
          <w:rFonts w:hint="eastAsia" w:eastAsia="仿宋_GB2312"/>
          <w:sz w:val="32"/>
          <w:szCs w:val="32"/>
          <w:lang w:eastAsia="zh-CN"/>
        </w:rPr>
        <w:t>问卷的形式，</w:t>
      </w:r>
      <w:r>
        <w:rPr>
          <w:rFonts w:hint="eastAsia" w:eastAsia="仿宋_GB2312"/>
          <w:sz w:val="32"/>
          <w:szCs w:val="32"/>
        </w:rPr>
        <w:t>采集工作人员</w:t>
      </w:r>
      <w:r>
        <w:rPr>
          <w:rFonts w:eastAsia="仿宋_GB2312"/>
          <w:sz w:val="32"/>
          <w:szCs w:val="32"/>
        </w:rPr>
        <w:t>以及</w:t>
      </w:r>
      <w:r>
        <w:rPr>
          <w:rFonts w:hint="eastAsia" w:eastAsia="仿宋_GB2312"/>
          <w:sz w:val="32"/>
          <w:szCs w:val="32"/>
        </w:rPr>
        <w:t>服务对象</w:t>
      </w:r>
      <w:r>
        <w:rPr>
          <w:rFonts w:eastAsia="仿宋_GB2312"/>
          <w:sz w:val="32"/>
          <w:szCs w:val="32"/>
        </w:rPr>
        <w:t>对</w:t>
      </w:r>
      <w:r>
        <w:rPr>
          <w:rFonts w:hint="eastAsia" w:eastAsia="仿宋_GB2312"/>
          <w:sz w:val="32"/>
          <w:szCs w:val="32"/>
          <w:lang w:eastAsia="zh-CN"/>
        </w:rPr>
        <w:t>幼儿园基础建设及</w:t>
      </w:r>
      <w:r>
        <w:rPr>
          <w:rFonts w:eastAsia="仿宋_GB2312"/>
          <w:sz w:val="32"/>
          <w:szCs w:val="32"/>
        </w:rPr>
        <w:t>新购置</w:t>
      </w:r>
      <w:r>
        <w:rPr>
          <w:rFonts w:hint="eastAsia" w:eastAsia="仿宋_GB2312"/>
          <w:sz w:val="32"/>
          <w:szCs w:val="32"/>
        </w:rPr>
        <w:t>设备</w:t>
      </w:r>
      <w:r>
        <w:rPr>
          <w:rFonts w:eastAsia="仿宋_GB2312"/>
          <w:sz w:val="32"/>
          <w:szCs w:val="32"/>
        </w:rPr>
        <w:t>的满意度情况</w:t>
      </w:r>
      <w:r>
        <w:rPr>
          <w:rFonts w:hint="eastAsia" w:eastAsia="仿宋_GB2312"/>
          <w:sz w:val="32"/>
          <w:szCs w:val="32"/>
        </w:rPr>
        <w:t>。</w:t>
      </w:r>
    </w:p>
    <w:p w14:paraId="57DF78A6">
      <w:pPr>
        <w:spacing w:line="575"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3.报告阶段</w:t>
      </w:r>
    </w:p>
    <w:p w14:paraId="52CED838">
      <w:p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在综合资料分析、现场调研、延伸评价所掌握资料及情况的基础上，形成</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绩效评价初步结论，按照规定的文本格式和相关要求撰写绩效评价报告。</w:t>
      </w:r>
    </w:p>
    <w:p w14:paraId="216AA109">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（1）绩效评价指标体系：绩效评价指标分值100分，分别为项目决策指标，分值20分；项目管理指标，分值30分；项目与产出指标，分值</w:t>
      </w:r>
      <w:r>
        <w:rPr>
          <w:rFonts w:hint="eastAsia" w:ascii="仿宋_GB2312" w:eastAsia="仿宋_GB2312" w:cs="仿宋_GB2312"/>
          <w:sz w:val="32"/>
          <w:szCs w:val="32"/>
          <w:lang w:val="en-US" w:eastAsia="zh-CN"/>
        </w:rPr>
        <w:t>40</w:t>
      </w:r>
      <w:r>
        <w:rPr>
          <w:rFonts w:hint="eastAsia" w:ascii="仿宋_GB2312" w:eastAsia="仿宋_GB2312" w:cs="仿宋_GB2312"/>
          <w:sz w:val="32"/>
          <w:szCs w:val="32"/>
        </w:rPr>
        <w:t>分；项目效益指标，分值1</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分。</w:t>
      </w:r>
    </w:p>
    <w:p w14:paraId="38B1785E">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（2）绩效评价等级表如下：</w:t>
      </w:r>
    </w:p>
    <w:tbl>
      <w:tblPr>
        <w:tblStyle w:val="11"/>
        <w:tblpPr w:leftFromText="180" w:rightFromText="180" w:vertAnchor="text" w:horzAnchor="page" w:tblpX="1654" w:tblpY="3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725"/>
        <w:gridCol w:w="1714"/>
        <w:gridCol w:w="1714"/>
        <w:gridCol w:w="1685"/>
      </w:tblGrid>
      <w:tr w14:paraId="7F2C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0CFCCE9B">
            <w:pPr>
              <w:pStyle w:val="9"/>
              <w:widowControl/>
              <w:spacing w:beforeAutospacing="0" w:afterAutospacing="0"/>
              <w:jc w:val="center"/>
              <w:rPr>
                <w:rFonts w:ascii="仿宋_GB2312" w:eastAsia="仿宋_GB2312" w:cs="仿宋_GB2312"/>
                <w:sz w:val="32"/>
                <w:szCs w:val="32"/>
              </w:rPr>
            </w:pPr>
            <w:r>
              <w:rPr>
                <w:rFonts w:hint="eastAsia" w:ascii="仿宋_GB2312" w:hAnsi="宋体" w:eastAsia="仿宋_GB2312" w:cs="宋体"/>
                <w:color w:val="000000"/>
                <w:sz w:val="22"/>
                <w:szCs w:val="22"/>
              </w:rPr>
              <w:t>分值</w:t>
            </w:r>
          </w:p>
        </w:tc>
        <w:tc>
          <w:tcPr>
            <w:tcW w:w="1812" w:type="dxa"/>
            <w:vAlign w:val="center"/>
          </w:tcPr>
          <w:p w14:paraId="6ADA4BB2">
            <w:pPr>
              <w:pStyle w:val="9"/>
              <w:widowControl/>
              <w:spacing w:beforeAutospacing="0" w:afterAutospacing="0"/>
              <w:jc w:val="center"/>
              <w:rPr>
                <w:rFonts w:ascii="仿宋_GB2312" w:eastAsia="仿宋_GB2312" w:cs="仿宋_GB2312"/>
                <w:sz w:val="32"/>
                <w:szCs w:val="32"/>
              </w:rPr>
            </w:pPr>
            <w:r>
              <w:rPr>
                <w:rFonts w:hint="eastAsia" w:ascii="仿宋_GB2312" w:hAnsi="宋体" w:eastAsia="仿宋_GB2312" w:cs="宋体"/>
                <w:color w:val="000000"/>
                <w:sz w:val="22"/>
                <w:szCs w:val="22"/>
              </w:rPr>
              <w:t>90-100分</w:t>
            </w:r>
          </w:p>
        </w:tc>
        <w:tc>
          <w:tcPr>
            <w:tcW w:w="1812" w:type="dxa"/>
            <w:vAlign w:val="center"/>
          </w:tcPr>
          <w:p w14:paraId="2B3A63FA">
            <w:pPr>
              <w:pStyle w:val="9"/>
              <w:widowControl/>
              <w:spacing w:beforeAutospacing="0" w:afterAutospacing="0"/>
              <w:jc w:val="center"/>
              <w:rPr>
                <w:rFonts w:ascii="仿宋_GB2312" w:eastAsia="仿宋_GB2312" w:cs="仿宋_GB2312"/>
                <w:sz w:val="32"/>
                <w:szCs w:val="32"/>
              </w:rPr>
            </w:pPr>
            <w:r>
              <w:rPr>
                <w:rFonts w:hint="eastAsia" w:ascii="仿宋_GB2312" w:hAnsi="宋体" w:eastAsia="仿宋_GB2312" w:cs="宋体"/>
                <w:color w:val="000000"/>
                <w:sz w:val="22"/>
                <w:szCs w:val="22"/>
              </w:rPr>
              <w:t>80-89分</w:t>
            </w:r>
          </w:p>
        </w:tc>
        <w:tc>
          <w:tcPr>
            <w:tcW w:w="1812" w:type="dxa"/>
            <w:vAlign w:val="center"/>
          </w:tcPr>
          <w:p w14:paraId="5CCF84BE">
            <w:pPr>
              <w:pStyle w:val="9"/>
              <w:widowControl/>
              <w:spacing w:beforeAutospacing="0" w:afterAutospacing="0"/>
              <w:jc w:val="center"/>
              <w:rPr>
                <w:rFonts w:ascii="仿宋_GB2312" w:eastAsia="仿宋_GB2312" w:cs="仿宋_GB2312"/>
                <w:sz w:val="32"/>
                <w:szCs w:val="32"/>
              </w:rPr>
            </w:pPr>
            <w:r>
              <w:rPr>
                <w:rFonts w:hint="eastAsia" w:ascii="仿宋_GB2312" w:hAnsi="宋体" w:eastAsia="仿宋_GB2312" w:cs="宋体"/>
                <w:color w:val="000000"/>
                <w:sz w:val="22"/>
                <w:szCs w:val="22"/>
              </w:rPr>
              <w:t>60-79分</w:t>
            </w:r>
          </w:p>
        </w:tc>
        <w:tc>
          <w:tcPr>
            <w:tcW w:w="1813" w:type="dxa"/>
            <w:vAlign w:val="center"/>
          </w:tcPr>
          <w:p w14:paraId="6BFE74EA">
            <w:pPr>
              <w:pStyle w:val="9"/>
              <w:widowControl/>
              <w:spacing w:beforeAutospacing="0" w:afterAutospacing="0"/>
              <w:jc w:val="center"/>
              <w:rPr>
                <w:rFonts w:ascii="仿宋_GB2312" w:eastAsia="仿宋_GB2312" w:cs="仿宋_GB2312"/>
                <w:sz w:val="32"/>
                <w:szCs w:val="32"/>
              </w:rPr>
            </w:pPr>
            <w:r>
              <w:rPr>
                <w:rFonts w:hint="eastAsia" w:ascii="仿宋_GB2312" w:hAnsi="宋体" w:eastAsia="仿宋_GB2312" w:cs="宋体"/>
                <w:color w:val="000000"/>
                <w:sz w:val="22"/>
                <w:szCs w:val="22"/>
              </w:rPr>
              <w:t>59分及以下</w:t>
            </w:r>
          </w:p>
        </w:tc>
      </w:tr>
      <w:tr w14:paraId="7BB3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42C0E521">
            <w:pPr>
              <w:pStyle w:val="9"/>
              <w:widowControl/>
              <w:spacing w:beforeAutospacing="0" w:afterAutospacing="0"/>
              <w:jc w:val="center"/>
              <w:rPr>
                <w:rFonts w:ascii="仿宋_GB2312" w:eastAsia="仿宋_GB2312" w:cs="仿宋_GB2312"/>
                <w:sz w:val="32"/>
                <w:szCs w:val="32"/>
              </w:rPr>
            </w:pPr>
            <w:r>
              <w:rPr>
                <w:rFonts w:hint="eastAsia" w:ascii="仿宋_GB2312" w:hAnsi="宋体" w:eastAsia="仿宋_GB2312" w:cs="宋体"/>
                <w:color w:val="000000"/>
                <w:sz w:val="22"/>
                <w:szCs w:val="22"/>
              </w:rPr>
              <w:t>等级</w:t>
            </w:r>
          </w:p>
        </w:tc>
        <w:tc>
          <w:tcPr>
            <w:tcW w:w="1812" w:type="dxa"/>
            <w:vAlign w:val="center"/>
          </w:tcPr>
          <w:p w14:paraId="7DB3C261">
            <w:pPr>
              <w:pStyle w:val="9"/>
              <w:widowControl/>
              <w:spacing w:beforeAutospacing="0" w:afterAutospacing="0"/>
              <w:jc w:val="center"/>
              <w:rPr>
                <w:rFonts w:ascii="仿宋_GB2312" w:eastAsia="仿宋_GB2312" w:cs="仿宋_GB2312"/>
                <w:sz w:val="32"/>
                <w:szCs w:val="32"/>
              </w:rPr>
            </w:pPr>
            <w:r>
              <w:rPr>
                <w:rFonts w:hint="eastAsia" w:ascii="仿宋_GB2312" w:hAnsi="宋体" w:eastAsia="仿宋_GB2312" w:cs="宋体"/>
                <w:color w:val="000000"/>
                <w:sz w:val="22"/>
                <w:szCs w:val="22"/>
              </w:rPr>
              <w:t>优</w:t>
            </w:r>
          </w:p>
        </w:tc>
        <w:tc>
          <w:tcPr>
            <w:tcW w:w="1812" w:type="dxa"/>
            <w:vAlign w:val="center"/>
          </w:tcPr>
          <w:p w14:paraId="187B8F30">
            <w:pPr>
              <w:pStyle w:val="9"/>
              <w:widowControl/>
              <w:spacing w:beforeAutospacing="0" w:afterAutospacing="0"/>
              <w:jc w:val="center"/>
              <w:rPr>
                <w:rFonts w:ascii="仿宋_GB2312" w:eastAsia="仿宋_GB2312" w:cs="仿宋_GB2312"/>
                <w:sz w:val="32"/>
                <w:szCs w:val="32"/>
              </w:rPr>
            </w:pPr>
            <w:r>
              <w:rPr>
                <w:rFonts w:hint="eastAsia" w:ascii="仿宋_GB2312" w:hAnsi="宋体" w:eastAsia="仿宋_GB2312" w:cs="宋体"/>
                <w:color w:val="000000"/>
                <w:sz w:val="22"/>
                <w:szCs w:val="22"/>
              </w:rPr>
              <w:t>良</w:t>
            </w:r>
          </w:p>
        </w:tc>
        <w:tc>
          <w:tcPr>
            <w:tcW w:w="1812" w:type="dxa"/>
            <w:vAlign w:val="center"/>
          </w:tcPr>
          <w:p w14:paraId="0F20523C">
            <w:pPr>
              <w:pStyle w:val="9"/>
              <w:widowControl/>
              <w:spacing w:beforeAutospacing="0" w:afterAutospacing="0"/>
              <w:jc w:val="center"/>
              <w:rPr>
                <w:rFonts w:ascii="仿宋_GB2312" w:eastAsia="仿宋_GB2312" w:cs="仿宋_GB2312"/>
                <w:sz w:val="32"/>
                <w:szCs w:val="32"/>
              </w:rPr>
            </w:pPr>
            <w:r>
              <w:rPr>
                <w:rFonts w:hint="eastAsia" w:ascii="仿宋_GB2312" w:hAnsi="宋体" w:eastAsia="仿宋_GB2312" w:cs="宋体"/>
                <w:color w:val="000000"/>
                <w:sz w:val="22"/>
                <w:szCs w:val="22"/>
              </w:rPr>
              <w:t>中</w:t>
            </w:r>
          </w:p>
        </w:tc>
        <w:tc>
          <w:tcPr>
            <w:tcW w:w="1813" w:type="dxa"/>
            <w:vAlign w:val="center"/>
          </w:tcPr>
          <w:p w14:paraId="37A96CC2">
            <w:pPr>
              <w:pStyle w:val="9"/>
              <w:widowControl/>
              <w:spacing w:beforeAutospacing="0" w:afterAutospacing="0"/>
              <w:jc w:val="center"/>
              <w:rPr>
                <w:rFonts w:ascii="仿宋_GB2312" w:eastAsia="仿宋_GB2312" w:cs="仿宋_GB2312"/>
                <w:sz w:val="32"/>
                <w:szCs w:val="32"/>
              </w:rPr>
            </w:pPr>
            <w:r>
              <w:rPr>
                <w:rFonts w:hint="eastAsia" w:ascii="仿宋_GB2312" w:hAnsi="宋体" w:eastAsia="仿宋_GB2312" w:cs="宋体"/>
                <w:color w:val="000000"/>
                <w:sz w:val="22"/>
                <w:szCs w:val="22"/>
              </w:rPr>
              <w:t>差</w:t>
            </w:r>
          </w:p>
        </w:tc>
      </w:tr>
    </w:tbl>
    <w:p w14:paraId="35235768">
      <w:pPr>
        <w:spacing w:line="575" w:lineRule="exact"/>
        <w:ind w:firstLine="640" w:firstLineChars="200"/>
        <w:rPr>
          <w:rFonts w:ascii="黑体" w:hAnsi="黑体" w:eastAsia="黑体" w:cs="黑体"/>
          <w:sz w:val="32"/>
          <w:szCs w:val="32"/>
        </w:rPr>
      </w:pPr>
      <w:r>
        <w:rPr>
          <w:rFonts w:hint="eastAsia" w:ascii="黑体" w:hAnsi="黑体" w:eastAsia="黑体" w:cs="黑体"/>
          <w:sz w:val="32"/>
          <w:szCs w:val="32"/>
        </w:rPr>
        <w:t>三、绩效评价结论</w:t>
      </w:r>
    </w:p>
    <w:p w14:paraId="11193C6A">
      <w:pPr>
        <w:adjustRightInd w:val="0"/>
        <w:snapToGrid w:val="0"/>
        <w:spacing w:line="560" w:lineRule="exact"/>
        <w:ind w:firstLine="640" w:firstLineChars="200"/>
        <w:rPr>
          <w:rFonts w:hint="eastAsia" w:ascii="Times New Roman" w:hAnsi="Times New Roman" w:eastAsia="仿宋_GB2312" w:cs="Times New Roman"/>
          <w:b/>
          <w:sz w:val="28"/>
          <w:szCs w:val="28"/>
        </w:rPr>
      </w:pPr>
      <w:r>
        <w:rPr>
          <w:rFonts w:ascii="Times New Roman" w:hAnsi="Times New Roman" w:eastAsia="仿宋_GB2312" w:cs="Times New Roman"/>
          <w:sz w:val="32"/>
        </w:rPr>
        <w:t>依据评价指标体系的评价指标和评分标准，基于佐证材料的审核分析情况，</w:t>
      </w:r>
      <w:r>
        <w:rPr>
          <w:rFonts w:hint="eastAsia" w:ascii="Times New Roman" w:hAnsi="Times New Roman" w:eastAsia="仿宋_GB2312" w:cs="Times New Roman"/>
          <w:sz w:val="32"/>
        </w:rPr>
        <w:t>综合评定</w:t>
      </w: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深圳市</w:t>
      </w:r>
      <w:r>
        <w:rPr>
          <w:rFonts w:hint="eastAsia" w:ascii="仿宋_GB2312" w:hAnsi="Times New Roman" w:eastAsia="仿宋_GB2312" w:cs="Times New Roman"/>
          <w:sz w:val="32"/>
          <w:szCs w:val="32"/>
        </w:rPr>
        <w:t>盐田区幼儿园建设项目</w:t>
      </w:r>
      <w:r>
        <w:rPr>
          <w:rFonts w:hint="eastAsia" w:ascii="仿宋_GB2312" w:hAnsi="Times New Roman" w:eastAsia="仿宋_GB2312" w:cs="Times New Roman"/>
          <w:sz w:val="32"/>
          <w:szCs w:val="32"/>
          <w:lang w:eastAsia="zh-CN"/>
        </w:rPr>
        <w:t>（续发）</w:t>
      </w:r>
      <w:r>
        <w:rPr>
          <w:rFonts w:hint="eastAsia" w:ascii="Times New Roman" w:hAnsi="Times New Roman" w:eastAsia="仿宋_GB2312" w:cs="Times New Roman"/>
          <w:sz w:val="32"/>
        </w:rPr>
        <w:t>的绩效评价得分为9</w:t>
      </w:r>
      <w:r>
        <w:rPr>
          <w:rFonts w:hint="eastAsia" w:ascii="Times New Roman" w:hAnsi="Times New Roman" w:eastAsia="仿宋_GB2312" w:cs="Times New Roman"/>
          <w:sz w:val="32"/>
          <w:lang w:val="en-US" w:eastAsia="zh-CN"/>
        </w:rPr>
        <w:t>5</w:t>
      </w:r>
      <w:r>
        <w:rPr>
          <w:rFonts w:hint="eastAsia" w:ascii="Times New Roman" w:hAnsi="Times New Roman" w:eastAsia="仿宋_GB2312" w:cs="Times New Roman"/>
          <w:sz w:val="32"/>
        </w:rPr>
        <w:t>分</w:t>
      </w:r>
      <w:r>
        <w:rPr>
          <w:rFonts w:ascii="Times New Roman" w:hAnsi="Times New Roman" w:eastAsia="仿宋_GB2312" w:cs="Times New Roman"/>
          <w:sz w:val="32"/>
        </w:rPr>
        <w:t>，绩效等级为“</w:t>
      </w:r>
      <w:r>
        <w:rPr>
          <w:rFonts w:hint="eastAsia" w:ascii="Times New Roman" w:hAnsi="Times New Roman" w:eastAsia="仿宋_GB2312" w:cs="Times New Roman"/>
          <w:sz w:val="32"/>
        </w:rPr>
        <w:t>优</w:t>
      </w:r>
      <w:r>
        <w:rPr>
          <w:rFonts w:ascii="Times New Roman" w:hAnsi="Times New Roman" w:eastAsia="仿宋_GB2312" w:cs="Times New Roman"/>
          <w:sz w:val="32"/>
        </w:rPr>
        <w:t>”。</w:t>
      </w:r>
    </w:p>
    <w:p w14:paraId="2D1736AA">
      <w:pPr>
        <w:spacing w:line="560" w:lineRule="exact"/>
        <w:jc w:val="center"/>
        <w:textAlignment w:val="center"/>
        <w:rPr>
          <w:rFonts w:hint="eastAsia" w:ascii="Times New Roman" w:hAnsi="Times New Roman" w:eastAsia="仿宋_GB2312" w:cs="Times New Roman"/>
          <w:b/>
          <w:sz w:val="28"/>
          <w:szCs w:val="28"/>
          <w:lang w:eastAsia="zh-CN"/>
        </w:rPr>
      </w:pPr>
      <w:r>
        <w:rPr>
          <w:rFonts w:hint="eastAsia" w:ascii="Times New Roman" w:hAnsi="Times New Roman" w:eastAsia="仿宋_GB2312" w:cs="Times New Roman"/>
          <w:b/>
          <w:sz w:val="28"/>
          <w:szCs w:val="28"/>
        </w:rPr>
        <w:t>202</w:t>
      </w:r>
      <w:r>
        <w:rPr>
          <w:rFonts w:hint="eastAsia" w:ascii="Times New Roman" w:hAnsi="Times New Roman" w:eastAsia="仿宋_GB2312" w:cs="Times New Roman"/>
          <w:b/>
          <w:sz w:val="28"/>
          <w:szCs w:val="28"/>
          <w:lang w:val="en-US" w:eastAsia="zh-CN"/>
        </w:rPr>
        <w:t>5</w:t>
      </w:r>
      <w:r>
        <w:rPr>
          <w:rFonts w:hint="eastAsia" w:ascii="Times New Roman" w:hAnsi="Times New Roman" w:eastAsia="仿宋_GB2312" w:cs="Times New Roman"/>
          <w:b/>
          <w:sz w:val="28"/>
          <w:szCs w:val="28"/>
        </w:rPr>
        <w:t>年</w:t>
      </w:r>
      <w:r>
        <w:rPr>
          <w:rFonts w:hint="eastAsia" w:ascii="Times New Roman" w:hAnsi="Times New Roman" w:eastAsia="仿宋_GB2312" w:cs="Times New Roman"/>
          <w:b/>
          <w:sz w:val="28"/>
          <w:szCs w:val="28"/>
          <w:lang w:eastAsia="zh-CN"/>
        </w:rPr>
        <w:t>深圳市</w:t>
      </w:r>
      <w:r>
        <w:rPr>
          <w:rFonts w:hint="eastAsia" w:ascii="Times New Roman" w:hAnsi="Times New Roman" w:eastAsia="仿宋_GB2312" w:cs="Times New Roman"/>
          <w:b/>
          <w:sz w:val="28"/>
          <w:szCs w:val="28"/>
        </w:rPr>
        <w:t>盐田区幼儿园建设项目</w:t>
      </w:r>
      <w:r>
        <w:rPr>
          <w:rFonts w:hint="eastAsia" w:ascii="Times New Roman" w:hAnsi="Times New Roman" w:eastAsia="仿宋_GB2312" w:cs="Times New Roman"/>
          <w:b/>
          <w:sz w:val="28"/>
          <w:szCs w:val="28"/>
          <w:lang w:eastAsia="zh-CN"/>
        </w:rPr>
        <w:t>（续发）</w:t>
      </w:r>
    </w:p>
    <w:p w14:paraId="02E35274">
      <w:pPr>
        <w:spacing w:line="560" w:lineRule="exact"/>
        <w:jc w:val="center"/>
        <w:textAlignment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绩效评分简表</w:t>
      </w:r>
    </w:p>
    <w:tbl>
      <w:tblPr>
        <w:tblStyle w:val="10"/>
        <w:tblW w:w="8947" w:type="dxa"/>
        <w:tblInd w:w="0" w:type="dxa"/>
        <w:tblLayout w:type="fixed"/>
        <w:tblCellMar>
          <w:top w:w="0" w:type="dxa"/>
          <w:left w:w="108" w:type="dxa"/>
          <w:bottom w:w="0" w:type="dxa"/>
          <w:right w:w="108" w:type="dxa"/>
        </w:tblCellMar>
      </w:tblPr>
      <w:tblGrid>
        <w:gridCol w:w="970"/>
        <w:gridCol w:w="948"/>
        <w:gridCol w:w="1048"/>
        <w:gridCol w:w="1085"/>
        <w:gridCol w:w="1699"/>
        <w:gridCol w:w="1027"/>
        <w:gridCol w:w="1045"/>
        <w:gridCol w:w="1125"/>
      </w:tblGrid>
      <w:tr w14:paraId="791EDCC8">
        <w:tblPrEx>
          <w:tblCellMar>
            <w:top w:w="0" w:type="dxa"/>
            <w:left w:w="108" w:type="dxa"/>
            <w:bottom w:w="0" w:type="dxa"/>
            <w:right w:w="108" w:type="dxa"/>
          </w:tblCellMar>
        </w:tblPrEx>
        <w:trPr>
          <w:trHeight w:val="442" w:hRule="atLeast"/>
          <w:tblHeader/>
        </w:trPr>
        <w:tc>
          <w:tcPr>
            <w:tcW w:w="4051" w:type="dxa"/>
            <w:gridSpan w:val="4"/>
            <w:tcBorders>
              <w:top w:val="single" w:color="auto" w:sz="4" w:space="0"/>
              <w:left w:val="single" w:color="auto" w:sz="4" w:space="0"/>
              <w:bottom w:val="single" w:color="auto" w:sz="4" w:space="0"/>
              <w:right w:val="single" w:color="auto" w:sz="4" w:space="0"/>
            </w:tcBorders>
            <w:shd w:val="clear" w:color="000000" w:fill="auto"/>
            <w:vAlign w:val="center"/>
          </w:tcPr>
          <w:p w14:paraId="21DB4DAD">
            <w:pPr>
              <w:jc w:val="center"/>
              <w:rPr>
                <w:rFonts w:ascii="Times New Roman" w:hAnsi="Times New Roman" w:eastAsia="仿宋_GB2312" w:cs="Times New Roman"/>
                <w:b/>
                <w:bCs/>
              </w:rPr>
            </w:pPr>
            <w:r>
              <w:rPr>
                <w:rFonts w:ascii="Times New Roman" w:hAnsi="Times New Roman" w:eastAsia="仿宋_GB2312" w:cs="Times New Roman"/>
                <w:b/>
                <w:bCs/>
              </w:rPr>
              <w:t>一级指标</w:t>
            </w:r>
          </w:p>
        </w:tc>
        <w:tc>
          <w:tcPr>
            <w:tcW w:w="4896" w:type="dxa"/>
            <w:gridSpan w:val="4"/>
            <w:tcBorders>
              <w:top w:val="single" w:color="auto" w:sz="4" w:space="0"/>
              <w:left w:val="nil"/>
              <w:bottom w:val="single" w:color="auto" w:sz="4" w:space="0"/>
              <w:right w:val="single" w:color="auto" w:sz="4" w:space="0"/>
            </w:tcBorders>
            <w:shd w:val="clear" w:color="000000" w:fill="auto"/>
            <w:vAlign w:val="center"/>
          </w:tcPr>
          <w:p w14:paraId="3C85A2C7">
            <w:pPr>
              <w:jc w:val="center"/>
              <w:rPr>
                <w:rFonts w:ascii="Times New Roman" w:hAnsi="Times New Roman" w:eastAsia="仿宋_GB2312" w:cs="Times New Roman"/>
                <w:b/>
                <w:bCs/>
              </w:rPr>
            </w:pPr>
            <w:r>
              <w:rPr>
                <w:rFonts w:ascii="Times New Roman" w:hAnsi="Times New Roman" w:eastAsia="仿宋_GB2312" w:cs="Times New Roman"/>
                <w:b/>
                <w:bCs/>
              </w:rPr>
              <w:t>二级指标</w:t>
            </w:r>
          </w:p>
        </w:tc>
      </w:tr>
      <w:tr w14:paraId="7F44D8AD">
        <w:tblPrEx>
          <w:tblCellMar>
            <w:top w:w="0" w:type="dxa"/>
            <w:left w:w="108" w:type="dxa"/>
            <w:bottom w:w="0" w:type="dxa"/>
            <w:right w:w="108" w:type="dxa"/>
          </w:tblCellMar>
        </w:tblPrEx>
        <w:trPr>
          <w:trHeight w:val="442" w:hRule="atLeast"/>
          <w:tblHeader/>
        </w:trPr>
        <w:tc>
          <w:tcPr>
            <w:tcW w:w="970" w:type="dxa"/>
            <w:tcBorders>
              <w:top w:val="nil"/>
              <w:left w:val="single" w:color="auto" w:sz="4" w:space="0"/>
              <w:bottom w:val="single" w:color="auto" w:sz="4" w:space="0"/>
              <w:right w:val="single" w:color="auto" w:sz="4" w:space="0"/>
            </w:tcBorders>
            <w:shd w:val="clear" w:color="000000" w:fill="auto"/>
            <w:vAlign w:val="center"/>
          </w:tcPr>
          <w:p w14:paraId="03DAFE5F">
            <w:pPr>
              <w:jc w:val="center"/>
              <w:rPr>
                <w:rFonts w:ascii="Times New Roman" w:hAnsi="Times New Roman" w:eastAsia="仿宋_GB2312" w:cs="Times New Roman"/>
                <w:b/>
                <w:bCs/>
              </w:rPr>
            </w:pPr>
            <w:r>
              <w:rPr>
                <w:rFonts w:ascii="Times New Roman" w:hAnsi="Times New Roman" w:eastAsia="仿宋_GB2312" w:cs="Times New Roman"/>
                <w:b/>
                <w:bCs/>
              </w:rPr>
              <w:t>名称</w:t>
            </w:r>
          </w:p>
        </w:tc>
        <w:tc>
          <w:tcPr>
            <w:tcW w:w="948" w:type="dxa"/>
            <w:tcBorders>
              <w:top w:val="nil"/>
              <w:left w:val="nil"/>
              <w:bottom w:val="single" w:color="auto" w:sz="4" w:space="0"/>
              <w:right w:val="single" w:color="auto" w:sz="4" w:space="0"/>
            </w:tcBorders>
            <w:shd w:val="clear" w:color="000000" w:fill="auto"/>
            <w:noWrap/>
            <w:vAlign w:val="center"/>
          </w:tcPr>
          <w:p w14:paraId="2C9353F4">
            <w:pPr>
              <w:jc w:val="center"/>
              <w:rPr>
                <w:rFonts w:ascii="Times New Roman" w:hAnsi="Times New Roman" w:eastAsia="仿宋_GB2312" w:cs="Times New Roman"/>
                <w:b/>
                <w:bCs/>
              </w:rPr>
            </w:pPr>
            <w:r>
              <w:rPr>
                <w:rFonts w:ascii="Times New Roman" w:hAnsi="Times New Roman" w:eastAsia="仿宋_GB2312" w:cs="Times New Roman"/>
                <w:b/>
                <w:bCs/>
              </w:rPr>
              <w:t>权重</w:t>
            </w:r>
          </w:p>
        </w:tc>
        <w:tc>
          <w:tcPr>
            <w:tcW w:w="1048" w:type="dxa"/>
            <w:tcBorders>
              <w:top w:val="nil"/>
              <w:left w:val="nil"/>
              <w:bottom w:val="single" w:color="auto" w:sz="4" w:space="0"/>
              <w:right w:val="single" w:color="auto" w:sz="4" w:space="0"/>
            </w:tcBorders>
            <w:shd w:val="clear" w:color="000000" w:fill="auto"/>
            <w:noWrap/>
            <w:vAlign w:val="center"/>
          </w:tcPr>
          <w:p w14:paraId="6FBEAA1F">
            <w:pPr>
              <w:jc w:val="center"/>
              <w:rPr>
                <w:rFonts w:ascii="Times New Roman" w:hAnsi="Times New Roman" w:eastAsia="仿宋_GB2312" w:cs="Times New Roman"/>
                <w:b/>
                <w:bCs/>
              </w:rPr>
            </w:pPr>
            <w:r>
              <w:rPr>
                <w:rFonts w:ascii="Times New Roman" w:hAnsi="Times New Roman" w:eastAsia="仿宋_GB2312" w:cs="Times New Roman"/>
                <w:b/>
                <w:bCs/>
              </w:rPr>
              <w:t>得分</w:t>
            </w:r>
          </w:p>
        </w:tc>
        <w:tc>
          <w:tcPr>
            <w:tcW w:w="1085" w:type="dxa"/>
            <w:tcBorders>
              <w:top w:val="nil"/>
              <w:left w:val="nil"/>
              <w:bottom w:val="single" w:color="auto" w:sz="4" w:space="0"/>
              <w:right w:val="single" w:color="auto" w:sz="4" w:space="0"/>
            </w:tcBorders>
            <w:shd w:val="clear" w:color="000000" w:fill="auto"/>
            <w:noWrap/>
            <w:vAlign w:val="center"/>
          </w:tcPr>
          <w:p w14:paraId="440F1790">
            <w:pPr>
              <w:jc w:val="center"/>
              <w:rPr>
                <w:rFonts w:ascii="Times New Roman" w:hAnsi="Times New Roman" w:eastAsia="仿宋_GB2312" w:cs="Times New Roman"/>
                <w:b/>
                <w:bCs/>
              </w:rPr>
            </w:pPr>
            <w:r>
              <w:rPr>
                <w:rFonts w:ascii="Times New Roman" w:hAnsi="Times New Roman" w:eastAsia="仿宋_GB2312" w:cs="Times New Roman"/>
                <w:b/>
                <w:bCs/>
              </w:rPr>
              <w:t>得分率</w:t>
            </w:r>
          </w:p>
        </w:tc>
        <w:tc>
          <w:tcPr>
            <w:tcW w:w="1699" w:type="dxa"/>
            <w:tcBorders>
              <w:top w:val="nil"/>
              <w:left w:val="nil"/>
              <w:bottom w:val="single" w:color="auto" w:sz="4" w:space="0"/>
              <w:right w:val="single" w:color="auto" w:sz="4" w:space="0"/>
            </w:tcBorders>
            <w:shd w:val="clear" w:color="000000" w:fill="auto"/>
            <w:noWrap/>
            <w:vAlign w:val="center"/>
          </w:tcPr>
          <w:p w14:paraId="1D4AA1B7">
            <w:pPr>
              <w:jc w:val="center"/>
              <w:rPr>
                <w:rFonts w:ascii="Times New Roman" w:hAnsi="Times New Roman" w:eastAsia="仿宋_GB2312" w:cs="Times New Roman"/>
                <w:b/>
                <w:bCs/>
              </w:rPr>
            </w:pPr>
            <w:r>
              <w:rPr>
                <w:rFonts w:ascii="Times New Roman" w:hAnsi="Times New Roman" w:eastAsia="仿宋_GB2312" w:cs="Times New Roman"/>
                <w:b/>
                <w:bCs/>
              </w:rPr>
              <w:t>名称</w:t>
            </w:r>
          </w:p>
        </w:tc>
        <w:tc>
          <w:tcPr>
            <w:tcW w:w="1027" w:type="dxa"/>
            <w:tcBorders>
              <w:top w:val="nil"/>
              <w:left w:val="nil"/>
              <w:bottom w:val="single" w:color="auto" w:sz="4" w:space="0"/>
              <w:right w:val="single" w:color="auto" w:sz="4" w:space="0"/>
            </w:tcBorders>
            <w:shd w:val="clear" w:color="000000" w:fill="auto"/>
            <w:noWrap/>
            <w:vAlign w:val="center"/>
          </w:tcPr>
          <w:p w14:paraId="3999BAB0">
            <w:pPr>
              <w:jc w:val="center"/>
              <w:rPr>
                <w:rFonts w:ascii="Times New Roman" w:hAnsi="Times New Roman" w:eastAsia="仿宋_GB2312" w:cs="Times New Roman"/>
                <w:b/>
                <w:bCs/>
              </w:rPr>
            </w:pPr>
            <w:r>
              <w:rPr>
                <w:rFonts w:ascii="Times New Roman" w:hAnsi="Times New Roman" w:eastAsia="仿宋_GB2312" w:cs="Times New Roman"/>
                <w:b/>
                <w:bCs/>
              </w:rPr>
              <w:t>权重</w:t>
            </w:r>
          </w:p>
        </w:tc>
        <w:tc>
          <w:tcPr>
            <w:tcW w:w="1045" w:type="dxa"/>
            <w:tcBorders>
              <w:top w:val="nil"/>
              <w:left w:val="nil"/>
              <w:bottom w:val="single" w:color="auto" w:sz="4" w:space="0"/>
              <w:right w:val="single" w:color="auto" w:sz="4" w:space="0"/>
            </w:tcBorders>
            <w:shd w:val="clear" w:color="000000" w:fill="auto"/>
            <w:noWrap/>
            <w:vAlign w:val="center"/>
          </w:tcPr>
          <w:p w14:paraId="50F41F71">
            <w:pPr>
              <w:jc w:val="center"/>
              <w:rPr>
                <w:rFonts w:ascii="Times New Roman" w:hAnsi="Times New Roman" w:eastAsia="仿宋_GB2312" w:cs="Times New Roman"/>
                <w:b/>
                <w:bCs/>
              </w:rPr>
            </w:pPr>
            <w:r>
              <w:rPr>
                <w:rFonts w:ascii="Times New Roman" w:hAnsi="Times New Roman" w:eastAsia="仿宋_GB2312" w:cs="Times New Roman"/>
                <w:b/>
                <w:bCs/>
              </w:rPr>
              <w:t>得分</w:t>
            </w:r>
          </w:p>
        </w:tc>
        <w:tc>
          <w:tcPr>
            <w:tcW w:w="1125" w:type="dxa"/>
            <w:tcBorders>
              <w:top w:val="nil"/>
              <w:left w:val="nil"/>
              <w:bottom w:val="single" w:color="auto" w:sz="4" w:space="0"/>
              <w:right w:val="single" w:color="auto" w:sz="4" w:space="0"/>
            </w:tcBorders>
            <w:shd w:val="clear" w:color="000000" w:fill="auto"/>
            <w:noWrap/>
            <w:vAlign w:val="center"/>
          </w:tcPr>
          <w:p w14:paraId="585B0334">
            <w:pPr>
              <w:jc w:val="center"/>
              <w:rPr>
                <w:rFonts w:ascii="Times New Roman" w:hAnsi="Times New Roman" w:eastAsia="仿宋_GB2312" w:cs="Times New Roman"/>
                <w:b/>
                <w:bCs/>
              </w:rPr>
            </w:pPr>
            <w:r>
              <w:rPr>
                <w:rFonts w:ascii="Times New Roman" w:hAnsi="Times New Roman" w:eastAsia="仿宋_GB2312" w:cs="Times New Roman"/>
                <w:b/>
                <w:bCs/>
              </w:rPr>
              <w:t>得分率</w:t>
            </w:r>
          </w:p>
        </w:tc>
      </w:tr>
      <w:tr w14:paraId="308B7CF6">
        <w:tblPrEx>
          <w:tblCellMar>
            <w:top w:w="0" w:type="dxa"/>
            <w:left w:w="108" w:type="dxa"/>
            <w:bottom w:w="0" w:type="dxa"/>
            <w:right w:w="108" w:type="dxa"/>
          </w:tblCellMar>
        </w:tblPrEx>
        <w:trPr>
          <w:trHeight w:val="442" w:hRule="atLeast"/>
        </w:trPr>
        <w:tc>
          <w:tcPr>
            <w:tcW w:w="970" w:type="dxa"/>
            <w:vMerge w:val="restart"/>
            <w:tcBorders>
              <w:top w:val="nil"/>
              <w:left w:val="single" w:color="auto" w:sz="4" w:space="0"/>
              <w:right w:val="single" w:color="auto" w:sz="4" w:space="0"/>
            </w:tcBorders>
            <w:shd w:val="clear" w:color="auto" w:fill="auto"/>
            <w:vAlign w:val="center"/>
          </w:tcPr>
          <w:p w14:paraId="6FFE0CDF">
            <w:pPr>
              <w:jc w:val="center"/>
              <w:rPr>
                <w:rFonts w:ascii="Times New Roman" w:hAnsi="Times New Roman" w:eastAsia="仿宋_GB2312" w:cs="Times New Roman"/>
              </w:rPr>
            </w:pPr>
            <w:r>
              <w:rPr>
                <w:rFonts w:hint="eastAsia" w:ascii="Times New Roman" w:hAnsi="Times New Roman" w:eastAsia="仿宋_GB2312" w:cs="Times New Roman"/>
              </w:rPr>
              <w:t>决策</w:t>
            </w:r>
          </w:p>
        </w:tc>
        <w:tc>
          <w:tcPr>
            <w:tcW w:w="948" w:type="dxa"/>
            <w:vMerge w:val="restart"/>
            <w:tcBorders>
              <w:top w:val="nil"/>
              <w:left w:val="single" w:color="auto" w:sz="4" w:space="0"/>
              <w:right w:val="single" w:color="auto" w:sz="4" w:space="0"/>
            </w:tcBorders>
            <w:shd w:val="clear" w:color="auto" w:fill="auto"/>
            <w:vAlign w:val="center"/>
          </w:tcPr>
          <w:p w14:paraId="2A5A78D6">
            <w:pPr>
              <w:jc w:val="center"/>
              <w:rPr>
                <w:rFonts w:ascii="Times New Roman" w:hAnsi="Times New Roman" w:eastAsia="仿宋_GB2312" w:cs="Times New Roman"/>
              </w:rPr>
            </w:pPr>
            <w:r>
              <w:rPr>
                <w:rFonts w:hint="eastAsia" w:ascii="Times New Roman" w:hAnsi="Times New Roman" w:eastAsia="仿宋_GB2312" w:cs="Times New Roman"/>
              </w:rPr>
              <w:t>20</w:t>
            </w:r>
          </w:p>
        </w:tc>
        <w:tc>
          <w:tcPr>
            <w:tcW w:w="1048" w:type="dxa"/>
            <w:vMerge w:val="restart"/>
            <w:tcBorders>
              <w:top w:val="nil"/>
              <w:left w:val="single" w:color="auto" w:sz="4" w:space="0"/>
              <w:right w:val="single" w:color="auto" w:sz="4" w:space="0"/>
            </w:tcBorders>
            <w:shd w:val="clear" w:color="auto" w:fill="auto"/>
            <w:vAlign w:val="center"/>
          </w:tcPr>
          <w:p w14:paraId="16A819D0">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w:t>
            </w:r>
          </w:p>
        </w:tc>
        <w:tc>
          <w:tcPr>
            <w:tcW w:w="1085" w:type="dxa"/>
            <w:vMerge w:val="restart"/>
            <w:tcBorders>
              <w:top w:val="nil"/>
              <w:left w:val="single" w:color="auto" w:sz="4" w:space="0"/>
              <w:right w:val="single" w:color="auto" w:sz="4" w:space="0"/>
            </w:tcBorders>
            <w:shd w:val="clear" w:color="auto" w:fill="auto"/>
            <w:vAlign w:val="center"/>
          </w:tcPr>
          <w:p w14:paraId="7C528883">
            <w:pPr>
              <w:jc w:val="center"/>
              <w:rPr>
                <w:rFonts w:ascii="Times New Roman" w:hAnsi="Times New Roman" w:eastAsia="仿宋_GB2312" w:cs="Times New Roman"/>
              </w:rPr>
            </w:pPr>
            <w:r>
              <w:rPr>
                <w:rFonts w:hint="default" w:ascii="Times New Roman" w:hAnsi="Times New Roman" w:eastAsia="仿宋_GB2312" w:cs="Times New Roman"/>
                <w:lang w:val="en-US"/>
              </w:rPr>
              <w:t>100</w:t>
            </w:r>
            <w:r>
              <w:rPr>
                <w:rFonts w:ascii="Times New Roman" w:hAnsi="Times New Roman" w:eastAsia="仿宋_GB2312" w:cs="Times New Roman"/>
              </w:rPr>
              <w:t>%</w:t>
            </w:r>
          </w:p>
        </w:tc>
        <w:tc>
          <w:tcPr>
            <w:tcW w:w="1699" w:type="dxa"/>
            <w:tcBorders>
              <w:top w:val="nil"/>
              <w:left w:val="nil"/>
              <w:bottom w:val="single" w:color="auto" w:sz="4" w:space="0"/>
              <w:right w:val="single" w:color="auto" w:sz="4" w:space="0"/>
            </w:tcBorders>
            <w:shd w:val="clear" w:color="auto" w:fill="auto"/>
            <w:vAlign w:val="center"/>
          </w:tcPr>
          <w:p w14:paraId="14BBBAF3">
            <w:pPr>
              <w:jc w:val="center"/>
              <w:rPr>
                <w:rFonts w:ascii="Times New Roman" w:hAnsi="Times New Roman" w:eastAsia="仿宋_GB2312" w:cs="Times New Roman"/>
              </w:rPr>
            </w:pPr>
            <w:r>
              <w:rPr>
                <w:rFonts w:hint="eastAsia" w:ascii="Times New Roman" w:hAnsi="Times New Roman" w:eastAsia="仿宋_GB2312" w:cs="Times New Roman"/>
              </w:rPr>
              <w:t>项目立项</w:t>
            </w:r>
          </w:p>
        </w:tc>
        <w:tc>
          <w:tcPr>
            <w:tcW w:w="1027" w:type="dxa"/>
            <w:tcBorders>
              <w:top w:val="nil"/>
              <w:left w:val="nil"/>
              <w:bottom w:val="single" w:color="auto" w:sz="4" w:space="0"/>
              <w:right w:val="single" w:color="auto" w:sz="4" w:space="0"/>
            </w:tcBorders>
            <w:shd w:val="clear" w:color="auto" w:fill="auto"/>
            <w:vAlign w:val="center"/>
          </w:tcPr>
          <w:p w14:paraId="13C57AF8">
            <w:pPr>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045" w:type="dxa"/>
            <w:tcBorders>
              <w:top w:val="nil"/>
              <w:left w:val="nil"/>
              <w:bottom w:val="single" w:color="auto" w:sz="4" w:space="0"/>
              <w:right w:val="single" w:color="auto" w:sz="4" w:space="0"/>
            </w:tcBorders>
            <w:shd w:val="clear" w:color="auto" w:fill="auto"/>
            <w:vAlign w:val="center"/>
          </w:tcPr>
          <w:p w14:paraId="4B54D2D9">
            <w:pPr>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125" w:type="dxa"/>
            <w:tcBorders>
              <w:top w:val="nil"/>
              <w:left w:val="nil"/>
              <w:bottom w:val="single" w:color="auto" w:sz="4" w:space="0"/>
              <w:right w:val="single" w:color="auto" w:sz="4" w:space="0"/>
            </w:tcBorders>
            <w:shd w:val="clear" w:color="auto" w:fill="auto"/>
            <w:vAlign w:val="center"/>
          </w:tcPr>
          <w:p w14:paraId="38424011">
            <w:pPr>
              <w:jc w:val="center"/>
              <w:rPr>
                <w:rFonts w:ascii="Times New Roman" w:hAnsi="Times New Roman" w:eastAsia="仿宋_GB2312" w:cs="Times New Roman"/>
              </w:rPr>
            </w:pPr>
            <w:r>
              <w:rPr>
                <w:rFonts w:hint="eastAsia" w:ascii="Times New Roman" w:hAnsi="Times New Roman" w:eastAsia="仿宋_GB2312" w:cs="Times New Roman"/>
              </w:rPr>
              <w:t>100</w:t>
            </w:r>
            <w:r>
              <w:rPr>
                <w:rFonts w:ascii="Times New Roman" w:hAnsi="Times New Roman" w:eastAsia="仿宋_GB2312" w:cs="Times New Roman"/>
              </w:rPr>
              <w:t>%</w:t>
            </w:r>
          </w:p>
        </w:tc>
      </w:tr>
      <w:tr w14:paraId="5DCE2DD5">
        <w:tblPrEx>
          <w:tblCellMar>
            <w:top w:w="0" w:type="dxa"/>
            <w:left w:w="108" w:type="dxa"/>
            <w:bottom w:w="0" w:type="dxa"/>
            <w:right w:w="108" w:type="dxa"/>
          </w:tblCellMar>
        </w:tblPrEx>
        <w:trPr>
          <w:trHeight w:val="442" w:hRule="atLeast"/>
        </w:trPr>
        <w:tc>
          <w:tcPr>
            <w:tcW w:w="970" w:type="dxa"/>
            <w:vMerge w:val="continue"/>
            <w:tcBorders>
              <w:left w:val="single" w:color="auto" w:sz="4" w:space="0"/>
              <w:right w:val="single" w:color="auto" w:sz="4" w:space="0"/>
            </w:tcBorders>
            <w:shd w:val="clear" w:color="auto" w:fill="auto"/>
            <w:vAlign w:val="center"/>
          </w:tcPr>
          <w:p w14:paraId="4DB6E9B0">
            <w:pPr>
              <w:jc w:val="center"/>
              <w:rPr>
                <w:rFonts w:ascii="Times New Roman" w:hAnsi="Times New Roman" w:eastAsia="仿宋_GB2312" w:cs="Times New Roman"/>
              </w:rPr>
            </w:pPr>
          </w:p>
        </w:tc>
        <w:tc>
          <w:tcPr>
            <w:tcW w:w="948" w:type="dxa"/>
            <w:vMerge w:val="continue"/>
            <w:tcBorders>
              <w:left w:val="single" w:color="auto" w:sz="4" w:space="0"/>
              <w:right w:val="single" w:color="auto" w:sz="4" w:space="0"/>
            </w:tcBorders>
            <w:shd w:val="clear" w:color="auto" w:fill="auto"/>
            <w:vAlign w:val="center"/>
          </w:tcPr>
          <w:p w14:paraId="0D9BC044">
            <w:pPr>
              <w:jc w:val="center"/>
              <w:rPr>
                <w:rFonts w:ascii="Times New Roman" w:hAnsi="Times New Roman" w:eastAsia="仿宋_GB2312" w:cs="Times New Roman"/>
              </w:rPr>
            </w:pPr>
          </w:p>
        </w:tc>
        <w:tc>
          <w:tcPr>
            <w:tcW w:w="1048" w:type="dxa"/>
            <w:vMerge w:val="continue"/>
            <w:tcBorders>
              <w:left w:val="single" w:color="auto" w:sz="4" w:space="0"/>
              <w:right w:val="single" w:color="auto" w:sz="4" w:space="0"/>
            </w:tcBorders>
            <w:shd w:val="clear" w:color="auto" w:fill="auto"/>
            <w:vAlign w:val="center"/>
          </w:tcPr>
          <w:p w14:paraId="3D986C4D">
            <w:pPr>
              <w:jc w:val="center"/>
              <w:rPr>
                <w:rFonts w:ascii="Times New Roman" w:hAnsi="Times New Roman" w:eastAsia="仿宋_GB2312" w:cs="Times New Roman"/>
              </w:rPr>
            </w:pPr>
          </w:p>
        </w:tc>
        <w:tc>
          <w:tcPr>
            <w:tcW w:w="1085" w:type="dxa"/>
            <w:vMerge w:val="continue"/>
            <w:tcBorders>
              <w:left w:val="single" w:color="auto" w:sz="4" w:space="0"/>
              <w:right w:val="single" w:color="auto" w:sz="4" w:space="0"/>
            </w:tcBorders>
            <w:shd w:val="clear" w:color="auto" w:fill="auto"/>
            <w:vAlign w:val="center"/>
          </w:tcPr>
          <w:p w14:paraId="446BFE79">
            <w:pPr>
              <w:jc w:val="center"/>
              <w:rPr>
                <w:rFonts w:ascii="Times New Roman" w:hAnsi="Times New Roman" w:eastAsia="仿宋_GB2312" w:cs="Times New Roman"/>
              </w:rPr>
            </w:pPr>
          </w:p>
        </w:tc>
        <w:tc>
          <w:tcPr>
            <w:tcW w:w="1699" w:type="dxa"/>
            <w:tcBorders>
              <w:top w:val="nil"/>
              <w:left w:val="nil"/>
              <w:bottom w:val="single" w:color="auto" w:sz="4" w:space="0"/>
              <w:right w:val="single" w:color="auto" w:sz="4" w:space="0"/>
            </w:tcBorders>
            <w:shd w:val="clear" w:color="auto" w:fill="auto"/>
            <w:vAlign w:val="center"/>
          </w:tcPr>
          <w:p w14:paraId="3262945B">
            <w:pPr>
              <w:jc w:val="center"/>
              <w:rPr>
                <w:rFonts w:ascii="Times New Roman" w:hAnsi="Times New Roman" w:eastAsia="仿宋_GB2312" w:cs="Times New Roman"/>
              </w:rPr>
            </w:pPr>
            <w:r>
              <w:rPr>
                <w:rFonts w:hint="eastAsia" w:ascii="Times New Roman" w:hAnsi="Times New Roman" w:eastAsia="仿宋_GB2312" w:cs="Times New Roman"/>
              </w:rPr>
              <w:t>项目储备</w:t>
            </w:r>
          </w:p>
        </w:tc>
        <w:tc>
          <w:tcPr>
            <w:tcW w:w="1027" w:type="dxa"/>
            <w:tcBorders>
              <w:top w:val="nil"/>
              <w:left w:val="nil"/>
              <w:bottom w:val="single" w:color="auto" w:sz="4" w:space="0"/>
              <w:right w:val="single" w:color="auto" w:sz="4" w:space="0"/>
            </w:tcBorders>
            <w:shd w:val="clear" w:color="auto" w:fill="auto"/>
            <w:vAlign w:val="center"/>
          </w:tcPr>
          <w:p w14:paraId="5F30C95F">
            <w:pPr>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045" w:type="dxa"/>
            <w:tcBorders>
              <w:top w:val="nil"/>
              <w:left w:val="nil"/>
              <w:bottom w:val="single" w:color="auto" w:sz="4" w:space="0"/>
              <w:right w:val="single" w:color="auto" w:sz="4" w:space="0"/>
            </w:tcBorders>
            <w:shd w:val="clear" w:color="auto" w:fill="auto"/>
            <w:vAlign w:val="center"/>
          </w:tcPr>
          <w:p w14:paraId="0EA624C4">
            <w:pPr>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125" w:type="dxa"/>
            <w:tcBorders>
              <w:top w:val="nil"/>
              <w:left w:val="nil"/>
              <w:bottom w:val="single" w:color="auto" w:sz="4" w:space="0"/>
              <w:right w:val="single" w:color="auto" w:sz="4" w:space="0"/>
            </w:tcBorders>
            <w:shd w:val="clear" w:color="auto" w:fill="auto"/>
            <w:vAlign w:val="center"/>
          </w:tcPr>
          <w:p w14:paraId="51A12E7B">
            <w:pPr>
              <w:jc w:val="center"/>
              <w:rPr>
                <w:rFonts w:ascii="Times New Roman" w:hAnsi="Times New Roman" w:eastAsia="仿宋_GB2312" w:cs="Times New Roman"/>
              </w:rPr>
            </w:pPr>
            <w:r>
              <w:rPr>
                <w:rFonts w:hint="eastAsia" w:ascii="Times New Roman" w:hAnsi="Times New Roman" w:eastAsia="仿宋_GB2312" w:cs="Times New Roman"/>
              </w:rPr>
              <w:t>100</w:t>
            </w:r>
            <w:r>
              <w:rPr>
                <w:rFonts w:ascii="Times New Roman" w:hAnsi="Times New Roman" w:eastAsia="仿宋_GB2312" w:cs="Times New Roman"/>
              </w:rPr>
              <w:t>%</w:t>
            </w:r>
          </w:p>
        </w:tc>
      </w:tr>
      <w:tr w14:paraId="63EE7E9C">
        <w:tblPrEx>
          <w:tblCellMar>
            <w:top w:w="0" w:type="dxa"/>
            <w:left w:w="108" w:type="dxa"/>
            <w:bottom w:w="0" w:type="dxa"/>
            <w:right w:w="108" w:type="dxa"/>
          </w:tblCellMar>
        </w:tblPrEx>
        <w:trPr>
          <w:trHeight w:val="442" w:hRule="atLeast"/>
        </w:trPr>
        <w:tc>
          <w:tcPr>
            <w:tcW w:w="970" w:type="dxa"/>
            <w:vMerge w:val="continue"/>
            <w:tcBorders>
              <w:left w:val="single" w:color="auto" w:sz="4" w:space="0"/>
              <w:right w:val="single" w:color="auto" w:sz="4" w:space="0"/>
            </w:tcBorders>
            <w:shd w:val="clear" w:color="auto" w:fill="auto"/>
            <w:vAlign w:val="center"/>
          </w:tcPr>
          <w:p w14:paraId="7EE22A65">
            <w:pPr>
              <w:jc w:val="center"/>
              <w:rPr>
                <w:rFonts w:ascii="Times New Roman" w:hAnsi="Times New Roman" w:eastAsia="仿宋_GB2312" w:cs="Times New Roman"/>
              </w:rPr>
            </w:pPr>
          </w:p>
        </w:tc>
        <w:tc>
          <w:tcPr>
            <w:tcW w:w="948" w:type="dxa"/>
            <w:vMerge w:val="continue"/>
            <w:tcBorders>
              <w:left w:val="single" w:color="auto" w:sz="4" w:space="0"/>
              <w:right w:val="single" w:color="auto" w:sz="4" w:space="0"/>
            </w:tcBorders>
            <w:shd w:val="clear" w:color="auto" w:fill="auto"/>
            <w:vAlign w:val="center"/>
          </w:tcPr>
          <w:p w14:paraId="607909DF">
            <w:pPr>
              <w:jc w:val="center"/>
              <w:rPr>
                <w:rFonts w:ascii="Times New Roman" w:hAnsi="Times New Roman" w:eastAsia="仿宋_GB2312" w:cs="Times New Roman"/>
              </w:rPr>
            </w:pPr>
          </w:p>
        </w:tc>
        <w:tc>
          <w:tcPr>
            <w:tcW w:w="1048" w:type="dxa"/>
            <w:vMerge w:val="continue"/>
            <w:tcBorders>
              <w:left w:val="single" w:color="auto" w:sz="4" w:space="0"/>
              <w:right w:val="single" w:color="auto" w:sz="4" w:space="0"/>
            </w:tcBorders>
            <w:shd w:val="clear" w:color="auto" w:fill="auto"/>
            <w:vAlign w:val="center"/>
          </w:tcPr>
          <w:p w14:paraId="6B1C6ECC">
            <w:pPr>
              <w:jc w:val="center"/>
              <w:rPr>
                <w:rFonts w:ascii="Times New Roman" w:hAnsi="Times New Roman" w:eastAsia="仿宋_GB2312" w:cs="Times New Roman"/>
              </w:rPr>
            </w:pPr>
          </w:p>
        </w:tc>
        <w:tc>
          <w:tcPr>
            <w:tcW w:w="1085" w:type="dxa"/>
            <w:vMerge w:val="continue"/>
            <w:tcBorders>
              <w:left w:val="single" w:color="auto" w:sz="4" w:space="0"/>
              <w:right w:val="single" w:color="auto" w:sz="4" w:space="0"/>
            </w:tcBorders>
            <w:shd w:val="clear" w:color="auto" w:fill="auto"/>
            <w:vAlign w:val="center"/>
          </w:tcPr>
          <w:p w14:paraId="6907E876">
            <w:pPr>
              <w:jc w:val="center"/>
              <w:rPr>
                <w:rFonts w:ascii="Times New Roman" w:hAnsi="Times New Roman" w:eastAsia="仿宋_GB2312" w:cs="Times New Roman"/>
              </w:rPr>
            </w:pPr>
          </w:p>
        </w:tc>
        <w:tc>
          <w:tcPr>
            <w:tcW w:w="1699" w:type="dxa"/>
            <w:tcBorders>
              <w:top w:val="nil"/>
              <w:left w:val="nil"/>
              <w:bottom w:val="single" w:color="auto" w:sz="4" w:space="0"/>
              <w:right w:val="single" w:color="auto" w:sz="4" w:space="0"/>
            </w:tcBorders>
            <w:shd w:val="clear" w:color="auto" w:fill="auto"/>
            <w:vAlign w:val="center"/>
          </w:tcPr>
          <w:p w14:paraId="611915C4">
            <w:pPr>
              <w:jc w:val="center"/>
              <w:rPr>
                <w:rFonts w:ascii="Times New Roman" w:hAnsi="Times New Roman" w:eastAsia="仿宋_GB2312" w:cs="Times New Roman"/>
              </w:rPr>
            </w:pPr>
            <w:r>
              <w:rPr>
                <w:rFonts w:hint="eastAsia" w:ascii="Times New Roman" w:hAnsi="Times New Roman" w:eastAsia="仿宋_GB2312" w:cs="Times New Roman"/>
              </w:rPr>
              <w:t>绩效目标</w:t>
            </w:r>
          </w:p>
        </w:tc>
        <w:tc>
          <w:tcPr>
            <w:tcW w:w="1027" w:type="dxa"/>
            <w:tcBorders>
              <w:top w:val="nil"/>
              <w:left w:val="nil"/>
              <w:bottom w:val="single" w:color="auto" w:sz="4" w:space="0"/>
              <w:right w:val="single" w:color="auto" w:sz="4" w:space="0"/>
            </w:tcBorders>
            <w:shd w:val="clear" w:color="auto" w:fill="auto"/>
            <w:vAlign w:val="center"/>
          </w:tcPr>
          <w:p w14:paraId="6B08FFCA">
            <w:pPr>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045" w:type="dxa"/>
            <w:tcBorders>
              <w:top w:val="nil"/>
              <w:left w:val="nil"/>
              <w:bottom w:val="single" w:color="auto" w:sz="4" w:space="0"/>
              <w:right w:val="single" w:color="auto" w:sz="4" w:space="0"/>
            </w:tcBorders>
            <w:shd w:val="clear" w:color="auto" w:fill="auto"/>
            <w:vAlign w:val="center"/>
          </w:tcPr>
          <w:p w14:paraId="0547388C">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5</w:t>
            </w:r>
          </w:p>
        </w:tc>
        <w:tc>
          <w:tcPr>
            <w:tcW w:w="1125" w:type="dxa"/>
            <w:tcBorders>
              <w:top w:val="nil"/>
              <w:left w:val="nil"/>
              <w:bottom w:val="single" w:color="auto" w:sz="4" w:space="0"/>
              <w:right w:val="single" w:color="auto" w:sz="4" w:space="0"/>
            </w:tcBorders>
            <w:shd w:val="clear" w:color="auto" w:fill="auto"/>
            <w:vAlign w:val="center"/>
          </w:tcPr>
          <w:p w14:paraId="694E74E5">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100</w:t>
            </w:r>
            <w:r>
              <w:rPr>
                <w:rFonts w:ascii="Times New Roman" w:hAnsi="Times New Roman" w:eastAsia="仿宋_GB2312" w:cs="Times New Roman"/>
              </w:rPr>
              <w:t>%</w:t>
            </w:r>
          </w:p>
        </w:tc>
      </w:tr>
      <w:tr w14:paraId="7AA47882">
        <w:tblPrEx>
          <w:tblCellMar>
            <w:top w:w="0" w:type="dxa"/>
            <w:left w:w="108" w:type="dxa"/>
            <w:bottom w:w="0" w:type="dxa"/>
            <w:right w:w="108" w:type="dxa"/>
          </w:tblCellMar>
        </w:tblPrEx>
        <w:trPr>
          <w:trHeight w:val="442" w:hRule="atLeast"/>
        </w:trPr>
        <w:tc>
          <w:tcPr>
            <w:tcW w:w="970" w:type="dxa"/>
            <w:vMerge w:val="continue"/>
            <w:tcBorders>
              <w:left w:val="single" w:color="auto" w:sz="4" w:space="0"/>
              <w:bottom w:val="single" w:color="auto" w:sz="4" w:space="0"/>
              <w:right w:val="single" w:color="auto" w:sz="4" w:space="0"/>
            </w:tcBorders>
            <w:shd w:val="clear" w:color="auto" w:fill="auto"/>
            <w:vAlign w:val="center"/>
          </w:tcPr>
          <w:p w14:paraId="76800D16">
            <w:pPr>
              <w:jc w:val="center"/>
              <w:rPr>
                <w:rFonts w:ascii="Times New Roman" w:hAnsi="Times New Roman" w:eastAsia="仿宋_GB2312" w:cs="Times New Roman"/>
              </w:rPr>
            </w:pPr>
          </w:p>
        </w:tc>
        <w:tc>
          <w:tcPr>
            <w:tcW w:w="948" w:type="dxa"/>
            <w:vMerge w:val="continue"/>
            <w:tcBorders>
              <w:left w:val="single" w:color="auto" w:sz="4" w:space="0"/>
              <w:bottom w:val="single" w:color="auto" w:sz="4" w:space="0"/>
              <w:right w:val="single" w:color="auto" w:sz="4" w:space="0"/>
            </w:tcBorders>
            <w:shd w:val="clear" w:color="auto" w:fill="auto"/>
            <w:vAlign w:val="center"/>
          </w:tcPr>
          <w:p w14:paraId="14291FFD">
            <w:pPr>
              <w:jc w:val="center"/>
              <w:rPr>
                <w:rFonts w:ascii="Times New Roman" w:hAnsi="Times New Roman" w:eastAsia="仿宋_GB2312" w:cs="Times New Roman"/>
              </w:rPr>
            </w:pPr>
          </w:p>
        </w:tc>
        <w:tc>
          <w:tcPr>
            <w:tcW w:w="1048" w:type="dxa"/>
            <w:vMerge w:val="continue"/>
            <w:tcBorders>
              <w:left w:val="single" w:color="auto" w:sz="4" w:space="0"/>
              <w:bottom w:val="single" w:color="auto" w:sz="4" w:space="0"/>
              <w:right w:val="single" w:color="auto" w:sz="4" w:space="0"/>
            </w:tcBorders>
            <w:shd w:val="clear" w:color="auto" w:fill="auto"/>
            <w:vAlign w:val="center"/>
          </w:tcPr>
          <w:p w14:paraId="00AB89F5">
            <w:pPr>
              <w:jc w:val="center"/>
              <w:rPr>
                <w:rFonts w:ascii="Times New Roman" w:hAnsi="Times New Roman" w:eastAsia="仿宋_GB2312" w:cs="Times New Roman"/>
              </w:rPr>
            </w:pPr>
          </w:p>
        </w:tc>
        <w:tc>
          <w:tcPr>
            <w:tcW w:w="1085" w:type="dxa"/>
            <w:vMerge w:val="continue"/>
            <w:tcBorders>
              <w:left w:val="single" w:color="auto" w:sz="4" w:space="0"/>
              <w:bottom w:val="single" w:color="auto" w:sz="4" w:space="0"/>
              <w:right w:val="single" w:color="auto" w:sz="4" w:space="0"/>
            </w:tcBorders>
            <w:shd w:val="clear" w:color="auto" w:fill="auto"/>
            <w:vAlign w:val="center"/>
          </w:tcPr>
          <w:p w14:paraId="01BB36DF">
            <w:pPr>
              <w:jc w:val="center"/>
              <w:rPr>
                <w:rFonts w:ascii="Times New Roman" w:hAnsi="Times New Roman" w:eastAsia="仿宋_GB2312" w:cs="Times New Roman"/>
              </w:rPr>
            </w:pPr>
          </w:p>
        </w:tc>
        <w:tc>
          <w:tcPr>
            <w:tcW w:w="1699" w:type="dxa"/>
            <w:tcBorders>
              <w:top w:val="nil"/>
              <w:left w:val="nil"/>
              <w:bottom w:val="single" w:color="auto" w:sz="4" w:space="0"/>
              <w:right w:val="single" w:color="auto" w:sz="4" w:space="0"/>
            </w:tcBorders>
            <w:shd w:val="clear" w:color="auto" w:fill="auto"/>
            <w:vAlign w:val="center"/>
          </w:tcPr>
          <w:p w14:paraId="601BEF25">
            <w:pPr>
              <w:jc w:val="center"/>
              <w:rPr>
                <w:rFonts w:ascii="Times New Roman" w:hAnsi="Times New Roman" w:eastAsia="仿宋_GB2312" w:cs="Times New Roman"/>
              </w:rPr>
            </w:pPr>
            <w:r>
              <w:rPr>
                <w:rFonts w:hint="eastAsia" w:ascii="Times New Roman" w:hAnsi="Times New Roman" w:eastAsia="仿宋_GB2312" w:cs="Times New Roman"/>
              </w:rPr>
              <w:t>资金需求</w:t>
            </w:r>
          </w:p>
        </w:tc>
        <w:tc>
          <w:tcPr>
            <w:tcW w:w="1027" w:type="dxa"/>
            <w:tcBorders>
              <w:top w:val="nil"/>
              <w:left w:val="nil"/>
              <w:bottom w:val="single" w:color="auto" w:sz="4" w:space="0"/>
              <w:right w:val="single" w:color="auto" w:sz="4" w:space="0"/>
            </w:tcBorders>
            <w:shd w:val="clear" w:color="auto" w:fill="auto"/>
            <w:vAlign w:val="center"/>
          </w:tcPr>
          <w:p w14:paraId="2C2F12B4">
            <w:pPr>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045" w:type="dxa"/>
            <w:tcBorders>
              <w:top w:val="nil"/>
              <w:left w:val="nil"/>
              <w:bottom w:val="single" w:color="auto" w:sz="4" w:space="0"/>
              <w:right w:val="single" w:color="auto" w:sz="4" w:space="0"/>
            </w:tcBorders>
            <w:shd w:val="clear" w:color="auto" w:fill="auto"/>
            <w:vAlign w:val="center"/>
          </w:tcPr>
          <w:p w14:paraId="54379993">
            <w:pPr>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125" w:type="dxa"/>
            <w:tcBorders>
              <w:top w:val="nil"/>
              <w:left w:val="nil"/>
              <w:bottom w:val="single" w:color="auto" w:sz="4" w:space="0"/>
              <w:right w:val="single" w:color="auto" w:sz="4" w:space="0"/>
            </w:tcBorders>
            <w:shd w:val="clear" w:color="auto" w:fill="auto"/>
            <w:vAlign w:val="center"/>
          </w:tcPr>
          <w:p w14:paraId="11FC943E">
            <w:pPr>
              <w:jc w:val="center"/>
              <w:rPr>
                <w:rFonts w:ascii="Times New Roman" w:hAnsi="Times New Roman" w:eastAsia="仿宋_GB2312" w:cs="Times New Roman"/>
              </w:rPr>
            </w:pPr>
            <w:r>
              <w:rPr>
                <w:rFonts w:hint="eastAsia" w:ascii="Times New Roman" w:hAnsi="Times New Roman" w:eastAsia="仿宋_GB2312" w:cs="Times New Roman"/>
              </w:rPr>
              <w:t>100</w:t>
            </w:r>
            <w:r>
              <w:rPr>
                <w:rFonts w:ascii="Times New Roman" w:hAnsi="Times New Roman" w:eastAsia="仿宋_GB2312" w:cs="Times New Roman"/>
              </w:rPr>
              <w:t>%</w:t>
            </w:r>
          </w:p>
        </w:tc>
      </w:tr>
      <w:tr w14:paraId="4251FF1A">
        <w:tblPrEx>
          <w:tblCellMar>
            <w:top w:w="0" w:type="dxa"/>
            <w:left w:w="108" w:type="dxa"/>
            <w:bottom w:w="0" w:type="dxa"/>
            <w:right w:w="108" w:type="dxa"/>
          </w:tblCellMar>
        </w:tblPrEx>
        <w:trPr>
          <w:trHeight w:val="442" w:hRule="atLeast"/>
        </w:trPr>
        <w:tc>
          <w:tcPr>
            <w:tcW w:w="970" w:type="dxa"/>
            <w:vMerge w:val="restart"/>
            <w:tcBorders>
              <w:top w:val="nil"/>
              <w:left w:val="single" w:color="auto" w:sz="4" w:space="0"/>
              <w:right w:val="single" w:color="auto" w:sz="4" w:space="0"/>
            </w:tcBorders>
            <w:shd w:val="clear" w:color="auto" w:fill="auto"/>
            <w:vAlign w:val="center"/>
          </w:tcPr>
          <w:p w14:paraId="08BAD18A">
            <w:pPr>
              <w:jc w:val="center"/>
              <w:rPr>
                <w:rFonts w:ascii="Times New Roman" w:hAnsi="Times New Roman" w:eastAsia="仿宋_GB2312" w:cs="Times New Roman"/>
              </w:rPr>
            </w:pPr>
            <w:r>
              <w:rPr>
                <w:rFonts w:hint="eastAsia" w:ascii="Times New Roman" w:hAnsi="Times New Roman" w:eastAsia="仿宋_GB2312" w:cs="Times New Roman"/>
              </w:rPr>
              <w:t>管理</w:t>
            </w:r>
          </w:p>
        </w:tc>
        <w:tc>
          <w:tcPr>
            <w:tcW w:w="948" w:type="dxa"/>
            <w:vMerge w:val="restart"/>
            <w:tcBorders>
              <w:top w:val="nil"/>
              <w:left w:val="single" w:color="auto" w:sz="4" w:space="0"/>
              <w:right w:val="single" w:color="auto" w:sz="4" w:space="0"/>
            </w:tcBorders>
            <w:shd w:val="clear" w:color="auto" w:fill="auto"/>
            <w:vAlign w:val="center"/>
          </w:tcPr>
          <w:p w14:paraId="58719BF5">
            <w:pPr>
              <w:jc w:val="center"/>
              <w:rPr>
                <w:rFonts w:ascii="Times New Roman" w:hAnsi="Times New Roman" w:eastAsia="仿宋_GB2312" w:cs="Times New Roman"/>
              </w:rPr>
            </w:pPr>
            <w:r>
              <w:rPr>
                <w:rFonts w:hint="eastAsia" w:ascii="Times New Roman" w:hAnsi="Times New Roman" w:eastAsia="仿宋_GB2312" w:cs="Times New Roman"/>
              </w:rPr>
              <w:t>30</w:t>
            </w:r>
          </w:p>
        </w:tc>
        <w:tc>
          <w:tcPr>
            <w:tcW w:w="1048" w:type="dxa"/>
            <w:vMerge w:val="restart"/>
            <w:tcBorders>
              <w:top w:val="nil"/>
              <w:left w:val="single" w:color="auto" w:sz="4" w:space="0"/>
              <w:right w:val="single" w:color="auto" w:sz="4" w:space="0"/>
            </w:tcBorders>
            <w:shd w:val="clear" w:color="auto" w:fill="auto"/>
            <w:vAlign w:val="center"/>
          </w:tcPr>
          <w:p w14:paraId="636A4781">
            <w:pPr>
              <w:jc w:val="center"/>
              <w:rPr>
                <w:rFonts w:ascii="Times New Roman" w:hAnsi="Times New Roman" w:eastAsia="仿宋_GB2312" w:cs="Times New Roman"/>
              </w:rPr>
            </w:pPr>
            <w:r>
              <w:rPr>
                <w:rFonts w:hint="eastAsia" w:ascii="Times New Roman" w:hAnsi="Times New Roman" w:eastAsia="仿宋_GB2312" w:cs="Times New Roman"/>
              </w:rPr>
              <w:t>25</w:t>
            </w:r>
          </w:p>
        </w:tc>
        <w:tc>
          <w:tcPr>
            <w:tcW w:w="1085" w:type="dxa"/>
            <w:vMerge w:val="restart"/>
            <w:tcBorders>
              <w:top w:val="nil"/>
              <w:left w:val="single" w:color="auto" w:sz="4" w:space="0"/>
              <w:right w:val="single" w:color="auto" w:sz="4" w:space="0"/>
            </w:tcBorders>
            <w:shd w:val="clear" w:color="auto" w:fill="auto"/>
            <w:vAlign w:val="center"/>
          </w:tcPr>
          <w:p w14:paraId="70295CBC">
            <w:pPr>
              <w:jc w:val="center"/>
              <w:rPr>
                <w:rFonts w:ascii="Times New Roman" w:hAnsi="Times New Roman" w:eastAsia="仿宋_GB2312" w:cs="Times New Roman"/>
              </w:rPr>
            </w:pPr>
            <w:r>
              <w:rPr>
                <w:rFonts w:hint="eastAsia" w:ascii="Times New Roman" w:hAnsi="Times New Roman" w:eastAsia="仿宋_GB2312" w:cs="Times New Roman"/>
              </w:rPr>
              <w:t>83.3</w:t>
            </w:r>
            <w:r>
              <w:rPr>
                <w:rFonts w:ascii="Times New Roman" w:hAnsi="Times New Roman" w:eastAsia="仿宋_GB2312" w:cs="Times New Roman"/>
              </w:rPr>
              <w:t>%</w:t>
            </w:r>
          </w:p>
        </w:tc>
        <w:tc>
          <w:tcPr>
            <w:tcW w:w="1699" w:type="dxa"/>
            <w:tcBorders>
              <w:top w:val="nil"/>
              <w:left w:val="nil"/>
              <w:bottom w:val="single" w:color="auto" w:sz="4" w:space="0"/>
              <w:right w:val="single" w:color="auto" w:sz="4" w:space="0"/>
            </w:tcBorders>
            <w:shd w:val="clear" w:color="auto" w:fill="auto"/>
            <w:vAlign w:val="center"/>
          </w:tcPr>
          <w:p w14:paraId="161D7A55">
            <w:pPr>
              <w:jc w:val="center"/>
              <w:rPr>
                <w:rFonts w:ascii="Times New Roman" w:hAnsi="Times New Roman" w:eastAsia="仿宋_GB2312" w:cs="Times New Roman"/>
              </w:rPr>
            </w:pPr>
            <w:r>
              <w:rPr>
                <w:rFonts w:hint="eastAsia" w:ascii="Times New Roman" w:hAnsi="Times New Roman" w:eastAsia="仿宋_GB2312" w:cs="Times New Roman"/>
              </w:rPr>
              <w:t>资金管理</w:t>
            </w:r>
          </w:p>
        </w:tc>
        <w:tc>
          <w:tcPr>
            <w:tcW w:w="1027" w:type="dxa"/>
            <w:tcBorders>
              <w:top w:val="nil"/>
              <w:left w:val="nil"/>
              <w:bottom w:val="single" w:color="auto" w:sz="4" w:space="0"/>
              <w:right w:val="single" w:color="auto" w:sz="4" w:space="0"/>
            </w:tcBorders>
            <w:shd w:val="clear" w:color="auto" w:fill="auto"/>
            <w:vAlign w:val="center"/>
          </w:tcPr>
          <w:p w14:paraId="1FC1885E">
            <w:pPr>
              <w:widowControl/>
              <w:jc w:val="center"/>
              <w:rPr>
                <w:rFonts w:ascii="Times New Roman" w:hAnsi="Times New Roman" w:eastAsia="仿宋_GB2312" w:cs="Times New Roman"/>
              </w:rPr>
            </w:pPr>
            <w:r>
              <w:rPr>
                <w:rFonts w:hint="eastAsia" w:ascii="Times New Roman" w:hAnsi="Times New Roman" w:eastAsia="仿宋_GB2312" w:cs="Times New Roman"/>
              </w:rPr>
              <w:t>10</w:t>
            </w:r>
          </w:p>
        </w:tc>
        <w:tc>
          <w:tcPr>
            <w:tcW w:w="1045" w:type="dxa"/>
            <w:tcBorders>
              <w:top w:val="nil"/>
              <w:left w:val="nil"/>
              <w:bottom w:val="single" w:color="auto" w:sz="4" w:space="0"/>
              <w:right w:val="single" w:color="auto" w:sz="4" w:space="0"/>
            </w:tcBorders>
            <w:shd w:val="clear" w:color="auto" w:fill="auto"/>
            <w:vAlign w:val="center"/>
          </w:tcPr>
          <w:p w14:paraId="2CB25150">
            <w:pPr>
              <w:widowControl/>
              <w:jc w:val="center"/>
              <w:rPr>
                <w:rFonts w:ascii="Times New Roman" w:hAnsi="Times New Roman" w:eastAsia="仿宋_GB2312" w:cs="Times New Roman"/>
              </w:rPr>
            </w:pPr>
            <w:r>
              <w:rPr>
                <w:rFonts w:hint="eastAsia" w:ascii="Times New Roman" w:hAnsi="Times New Roman" w:eastAsia="仿宋_GB2312" w:cs="Times New Roman"/>
              </w:rPr>
              <w:t>10</w:t>
            </w:r>
          </w:p>
        </w:tc>
        <w:tc>
          <w:tcPr>
            <w:tcW w:w="1125" w:type="dxa"/>
            <w:tcBorders>
              <w:top w:val="nil"/>
              <w:left w:val="nil"/>
              <w:bottom w:val="single" w:color="auto" w:sz="4" w:space="0"/>
              <w:right w:val="single" w:color="auto" w:sz="4" w:space="0"/>
            </w:tcBorders>
            <w:shd w:val="clear" w:color="auto" w:fill="auto"/>
            <w:vAlign w:val="center"/>
          </w:tcPr>
          <w:p w14:paraId="6BB9A455">
            <w:pPr>
              <w:jc w:val="center"/>
              <w:rPr>
                <w:rFonts w:ascii="Times New Roman" w:hAnsi="Times New Roman" w:eastAsia="仿宋_GB2312" w:cs="Times New Roman"/>
              </w:rPr>
            </w:pPr>
            <w:r>
              <w:rPr>
                <w:rFonts w:hint="eastAsia" w:ascii="Times New Roman" w:hAnsi="Times New Roman" w:eastAsia="仿宋_GB2312" w:cs="Times New Roman"/>
              </w:rPr>
              <w:t>100</w:t>
            </w:r>
            <w:r>
              <w:rPr>
                <w:rFonts w:ascii="Times New Roman" w:hAnsi="Times New Roman" w:eastAsia="仿宋_GB2312" w:cs="Times New Roman"/>
              </w:rPr>
              <w:t>%</w:t>
            </w:r>
          </w:p>
        </w:tc>
      </w:tr>
      <w:tr w14:paraId="1BCC5D05">
        <w:tblPrEx>
          <w:tblCellMar>
            <w:top w:w="0" w:type="dxa"/>
            <w:left w:w="108" w:type="dxa"/>
            <w:bottom w:w="0" w:type="dxa"/>
            <w:right w:w="108" w:type="dxa"/>
          </w:tblCellMar>
        </w:tblPrEx>
        <w:trPr>
          <w:trHeight w:val="442" w:hRule="atLeast"/>
        </w:trPr>
        <w:tc>
          <w:tcPr>
            <w:tcW w:w="970" w:type="dxa"/>
            <w:vMerge w:val="continue"/>
            <w:tcBorders>
              <w:left w:val="single" w:color="auto" w:sz="4" w:space="0"/>
              <w:right w:val="single" w:color="auto" w:sz="4" w:space="0"/>
            </w:tcBorders>
            <w:vAlign w:val="center"/>
          </w:tcPr>
          <w:p w14:paraId="5AF21562">
            <w:pPr>
              <w:jc w:val="center"/>
              <w:rPr>
                <w:rFonts w:ascii="Times New Roman" w:hAnsi="Times New Roman" w:eastAsia="仿宋_GB2312" w:cs="Times New Roman"/>
              </w:rPr>
            </w:pPr>
          </w:p>
        </w:tc>
        <w:tc>
          <w:tcPr>
            <w:tcW w:w="948" w:type="dxa"/>
            <w:vMerge w:val="continue"/>
            <w:tcBorders>
              <w:left w:val="single" w:color="auto" w:sz="4" w:space="0"/>
              <w:right w:val="single" w:color="auto" w:sz="4" w:space="0"/>
            </w:tcBorders>
            <w:vAlign w:val="center"/>
          </w:tcPr>
          <w:p w14:paraId="7C3A8C35">
            <w:pPr>
              <w:jc w:val="center"/>
              <w:rPr>
                <w:rFonts w:ascii="Times New Roman" w:hAnsi="Times New Roman" w:eastAsia="仿宋_GB2312" w:cs="Times New Roman"/>
              </w:rPr>
            </w:pPr>
          </w:p>
        </w:tc>
        <w:tc>
          <w:tcPr>
            <w:tcW w:w="1048" w:type="dxa"/>
            <w:vMerge w:val="continue"/>
            <w:tcBorders>
              <w:left w:val="single" w:color="auto" w:sz="4" w:space="0"/>
              <w:right w:val="single" w:color="auto" w:sz="4" w:space="0"/>
            </w:tcBorders>
            <w:vAlign w:val="center"/>
          </w:tcPr>
          <w:p w14:paraId="43C86223">
            <w:pPr>
              <w:jc w:val="center"/>
              <w:rPr>
                <w:rFonts w:ascii="Times New Roman" w:hAnsi="Times New Roman" w:eastAsia="仿宋_GB2312" w:cs="Times New Roman"/>
              </w:rPr>
            </w:pPr>
          </w:p>
        </w:tc>
        <w:tc>
          <w:tcPr>
            <w:tcW w:w="1085" w:type="dxa"/>
            <w:vMerge w:val="continue"/>
            <w:tcBorders>
              <w:left w:val="single" w:color="auto" w:sz="4" w:space="0"/>
              <w:right w:val="single" w:color="auto" w:sz="4" w:space="0"/>
            </w:tcBorders>
            <w:vAlign w:val="center"/>
          </w:tcPr>
          <w:p w14:paraId="48C9B8BE">
            <w:pPr>
              <w:jc w:val="center"/>
              <w:rPr>
                <w:rFonts w:ascii="Times New Roman" w:hAnsi="Times New Roman" w:eastAsia="仿宋_GB2312" w:cs="Times New Roman"/>
              </w:rPr>
            </w:pPr>
          </w:p>
        </w:tc>
        <w:tc>
          <w:tcPr>
            <w:tcW w:w="1699" w:type="dxa"/>
            <w:tcBorders>
              <w:top w:val="nil"/>
              <w:left w:val="nil"/>
              <w:bottom w:val="single" w:color="auto" w:sz="4" w:space="0"/>
              <w:right w:val="single" w:color="auto" w:sz="4" w:space="0"/>
            </w:tcBorders>
            <w:shd w:val="clear" w:color="auto" w:fill="auto"/>
            <w:vAlign w:val="center"/>
          </w:tcPr>
          <w:p w14:paraId="672ADBDB">
            <w:pPr>
              <w:jc w:val="center"/>
              <w:rPr>
                <w:rFonts w:ascii="Times New Roman" w:hAnsi="Times New Roman" w:eastAsia="仿宋_GB2312" w:cs="Times New Roman"/>
              </w:rPr>
            </w:pPr>
            <w:r>
              <w:rPr>
                <w:rFonts w:hint="eastAsia" w:ascii="Times New Roman" w:hAnsi="Times New Roman" w:eastAsia="仿宋_GB2312" w:cs="Times New Roman"/>
              </w:rPr>
              <w:t>资产管理</w:t>
            </w:r>
          </w:p>
        </w:tc>
        <w:tc>
          <w:tcPr>
            <w:tcW w:w="1027" w:type="dxa"/>
            <w:tcBorders>
              <w:top w:val="nil"/>
              <w:left w:val="nil"/>
              <w:bottom w:val="single" w:color="auto" w:sz="4" w:space="0"/>
              <w:right w:val="single" w:color="auto" w:sz="4" w:space="0"/>
            </w:tcBorders>
            <w:shd w:val="clear" w:color="auto" w:fill="auto"/>
            <w:vAlign w:val="center"/>
          </w:tcPr>
          <w:p w14:paraId="5BE32A26">
            <w:pPr>
              <w:widowControl/>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045" w:type="dxa"/>
            <w:tcBorders>
              <w:top w:val="nil"/>
              <w:left w:val="nil"/>
              <w:bottom w:val="single" w:color="auto" w:sz="4" w:space="0"/>
              <w:right w:val="single" w:color="auto" w:sz="4" w:space="0"/>
            </w:tcBorders>
            <w:shd w:val="clear" w:color="auto" w:fill="auto"/>
            <w:vAlign w:val="center"/>
          </w:tcPr>
          <w:p w14:paraId="75BF7D0A">
            <w:pPr>
              <w:widowControl/>
              <w:jc w:val="center"/>
              <w:rPr>
                <w:rFonts w:ascii="Times New Roman" w:hAnsi="Times New Roman" w:eastAsia="仿宋_GB2312" w:cs="Times New Roman"/>
              </w:rPr>
            </w:pPr>
            <w:r>
              <w:rPr>
                <w:rFonts w:hint="eastAsia" w:ascii="Times New Roman" w:hAnsi="Times New Roman" w:eastAsia="仿宋_GB2312" w:cs="Times New Roman"/>
              </w:rPr>
              <w:t>0</w:t>
            </w:r>
          </w:p>
        </w:tc>
        <w:tc>
          <w:tcPr>
            <w:tcW w:w="1125" w:type="dxa"/>
            <w:tcBorders>
              <w:top w:val="nil"/>
              <w:left w:val="nil"/>
              <w:bottom w:val="single" w:color="auto" w:sz="4" w:space="0"/>
              <w:right w:val="single" w:color="auto" w:sz="4" w:space="0"/>
            </w:tcBorders>
            <w:shd w:val="clear" w:color="auto" w:fill="auto"/>
            <w:vAlign w:val="center"/>
          </w:tcPr>
          <w:p w14:paraId="5341A1F6">
            <w:pPr>
              <w:jc w:val="center"/>
              <w:rPr>
                <w:rFonts w:ascii="Times New Roman" w:hAnsi="Times New Roman" w:eastAsia="仿宋_GB2312" w:cs="Times New Roman"/>
              </w:rPr>
            </w:pPr>
            <w:r>
              <w:rPr>
                <w:rFonts w:hint="eastAsia" w:ascii="Times New Roman" w:hAnsi="Times New Roman" w:eastAsia="仿宋_GB2312" w:cs="Times New Roman"/>
              </w:rPr>
              <w:t>0</w:t>
            </w:r>
          </w:p>
        </w:tc>
      </w:tr>
      <w:tr w14:paraId="31A28760">
        <w:tblPrEx>
          <w:tblCellMar>
            <w:top w:w="0" w:type="dxa"/>
            <w:left w:w="108" w:type="dxa"/>
            <w:bottom w:w="0" w:type="dxa"/>
            <w:right w:w="108" w:type="dxa"/>
          </w:tblCellMar>
        </w:tblPrEx>
        <w:trPr>
          <w:trHeight w:val="442" w:hRule="atLeast"/>
        </w:trPr>
        <w:tc>
          <w:tcPr>
            <w:tcW w:w="970" w:type="dxa"/>
            <w:vMerge w:val="continue"/>
            <w:tcBorders>
              <w:left w:val="single" w:color="auto" w:sz="4" w:space="0"/>
              <w:right w:val="single" w:color="auto" w:sz="4" w:space="0"/>
            </w:tcBorders>
            <w:vAlign w:val="center"/>
          </w:tcPr>
          <w:p w14:paraId="2121D1E2">
            <w:pPr>
              <w:jc w:val="center"/>
              <w:rPr>
                <w:rFonts w:ascii="Times New Roman" w:hAnsi="Times New Roman" w:eastAsia="仿宋_GB2312" w:cs="Times New Roman"/>
              </w:rPr>
            </w:pPr>
          </w:p>
        </w:tc>
        <w:tc>
          <w:tcPr>
            <w:tcW w:w="948" w:type="dxa"/>
            <w:vMerge w:val="continue"/>
            <w:tcBorders>
              <w:left w:val="single" w:color="auto" w:sz="4" w:space="0"/>
              <w:right w:val="single" w:color="auto" w:sz="4" w:space="0"/>
            </w:tcBorders>
            <w:vAlign w:val="center"/>
          </w:tcPr>
          <w:p w14:paraId="2AE43314">
            <w:pPr>
              <w:jc w:val="center"/>
              <w:rPr>
                <w:rFonts w:ascii="Times New Roman" w:hAnsi="Times New Roman" w:eastAsia="仿宋_GB2312" w:cs="Times New Roman"/>
              </w:rPr>
            </w:pPr>
          </w:p>
        </w:tc>
        <w:tc>
          <w:tcPr>
            <w:tcW w:w="1048" w:type="dxa"/>
            <w:vMerge w:val="continue"/>
            <w:tcBorders>
              <w:left w:val="single" w:color="auto" w:sz="4" w:space="0"/>
              <w:right w:val="single" w:color="auto" w:sz="4" w:space="0"/>
            </w:tcBorders>
            <w:vAlign w:val="center"/>
          </w:tcPr>
          <w:p w14:paraId="39AF3AE0">
            <w:pPr>
              <w:jc w:val="center"/>
              <w:rPr>
                <w:rFonts w:ascii="Times New Roman" w:hAnsi="Times New Roman" w:eastAsia="仿宋_GB2312" w:cs="Times New Roman"/>
              </w:rPr>
            </w:pPr>
          </w:p>
        </w:tc>
        <w:tc>
          <w:tcPr>
            <w:tcW w:w="1085" w:type="dxa"/>
            <w:vMerge w:val="continue"/>
            <w:tcBorders>
              <w:left w:val="single" w:color="auto" w:sz="4" w:space="0"/>
              <w:right w:val="single" w:color="auto" w:sz="4" w:space="0"/>
            </w:tcBorders>
            <w:vAlign w:val="center"/>
          </w:tcPr>
          <w:p w14:paraId="3C46A3F4">
            <w:pPr>
              <w:jc w:val="center"/>
              <w:rPr>
                <w:rFonts w:ascii="Times New Roman" w:hAnsi="Times New Roman" w:eastAsia="仿宋_GB2312" w:cs="Times New Roman"/>
              </w:rPr>
            </w:pPr>
          </w:p>
        </w:tc>
        <w:tc>
          <w:tcPr>
            <w:tcW w:w="1699" w:type="dxa"/>
            <w:tcBorders>
              <w:top w:val="nil"/>
              <w:left w:val="nil"/>
              <w:bottom w:val="single" w:color="auto" w:sz="4" w:space="0"/>
              <w:right w:val="single" w:color="auto" w:sz="4" w:space="0"/>
            </w:tcBorders>
            <w:shd w:val="clear" w:color="auto" w:fill="auto"/>
            <w:vAlign w:val="center"/>
          </w:tcPr>
          <w:p w14:paraId="649C6432">
            <w:pPr>
              <w:jc w:val="center"/>
              <w:rPr>
                <w:rFonts w:ascii="Times New Roman" w:hAnsi="Times New Roman" w:eastAsia="仿宋_GB2312" w:cs="Times New Roman"/>
              </w:rPr>
            </w:pPr>
            <w:r>
              <w:rPr>
                <w:rFonts w:hint="eastAsia" w:ascii="Times New Roman" w:hAnsi="Times New Roman" w:eastAsia="仿宋_GB2312" w:cs="Times New Roman"/>
              </w:rPr>
              <w:t>偿债风险防控</w:t>
            </w:r>
          </w:p>
        </w:tc>
        <w:tc>
          <w:tcPr>
            <w:tcW w:w="1027" w:type="dxa"/>
            <w:tcBorders>
              <w:top w:val="nil"/>
              <w:left w:val="nil"/>
              <w:bottom w:val="single" w:color="auto" w:sz="4" w:space="0"/>
              <w:right w:val="single" w:color="auto" w:sz="4" w:space="0"/>
            </w:tcBorders>
            <w:shd w:val="clear" w:color="auto" w:fill="auto"/>
            <w:vAlign w:val="center"/>
          </w:tcPr>
          <w:p w14:paraId="0736FCFD">
            <w:pPr>
              <w:widowControl/>
              <w:jc w:val="center"/>
              <w:rPr>
                <w:rFonts w:ascii="Times New Roman" w:hAnsi="Times New Roman" w:eastAsia="仿宋_GB2312" w:cs="Times New Roman"/>
              </w:rPr>
            </w:pPr>
            <w:r>
              <w:rPr>
                <w:rFonts w:hint="eastAsia" w:ascii="Times New Roman" w:hAnsi="Times New Roman" w:eastAsia="仿宋_GB2312" w:cs="Times New Roman"/>
              </w:rPr>
              <w:t>10</w:t>
            </w:r>
          </w:p>
        </w:tc>
        <w:tc>
          <w:tcPr>
            <w:tcW w:w="1045" w:type="dxa"/>
            <w:tcBorders>
              <w:top w:val="nil"/>
              <w:left w:val="nil"/>
              <w:bottom w:val="single" w:color="auto" w:sz="4" w:space="0"/>
              <w:right w:val="single" w:color="auto" w:sz="4" w:space="0"/>
            </w:tcBorders>
            <w:shd w:val="clear" w:color="auto" w:fill="auto"/>
            <w:vAlign w:val="center"/>
          </w:tcPr>
          <w:p w14:paraId="7FE485C1">
            <w:pPr>
              <w:widowControl/>
              <w:jc w:val="center"/>
              <w:rPr>
                <w:rFonts w:ascii="Times New Roman" w:hAnsi="Times New Roman" w:eastAsia="仿宋_GB2312" w:cs="Times New Roman"/>
              </w:rPr>
            </w:pPr>
            <w:r>
              <w:rPr>
                <w:rFonts w:hint="eastAsia" w:ascii="Times New Roman" w:hAnsi="Times New Roman" w:eastAsia="仿宋_GB2312" w:cs="Times New Roman"/>
              </w:rPr>
              <w:t>10</w:t>
            </w:r>
          </w:p>
        </w:tc>
        <w:tc>
          <w:tcPr>
            <w:tcW w:w="1125" w:type="dxa"/>
            <w:tcBorders>
              <w:top w:val="nil"/>
              <w:left w:val="nil"/>
              <w:bottom w:val="single" w:color="auto" w:sz="4" w:space="0"/>
              <w:right w:val="single" w:color="auto" w:sz="4" w:space="0"/>
            </w:tcBorders>
            <w:shd w:val="clear" w:color="auto" w:fill="auto"/>
            <w:vAlign w:val="center"/>
          </w:tcPr>
          <w:p w14:paraId="2972B37E">
            <w:pPr>
              <w:jc w:val="center"/>
              <w:rPr>
                <w:rFonts w:ascii="Times New Roman" w:hAnsi="Times New Roman" w:eastAsia="仿宋_GB2312" w:cs="Times New Roman"/>
              </w:rPr>
            </w:pPr>
            <w:r>
              <w:rPr>
                <w:rFonts w:hint="eastAsia" w:ascii="Times New Roman" w:hAnsi="Times New Roman" w:eastAsia="仿宋_GB2312" w:cs="Times New Roman"/>
              </w:rPr>
              <w:t>100</w:t>
            </w:r>
            <w:r>
              <w:rPr>
                <w:rFonts w:ascii="Times New Roman" w:hAnsi="Times New Roman" w:eastAsia="仿宋_GB2312" w:cs="Times New Roman"/>
              </w:rPr>
              <w:t>%</w:t>
            </w:r>
          </w:p>
        </w:tc>
      </w:tr>
      <w:tr w14:paraId="163FB07C">
        <w:tblPrEx>
          <w:tblCellMar>
            <w:top w:w="0" w:type="dxa"/>
            <w:left w:w="108" w:type="dxa"/>
            <w:bottom w:w="0" w:type="dxa"/>
            <w:right w:w="108" w:type="dxa"/>
          </w:tblCellMar>
        </w:tblPrEx>
        <w:trPr>
          <w:trHeight w:val="442" w:hRule="atLeast"/>
        </w:trPr>
        <w:tc>
          <w:tcPr>
            <w:tcW w:w="970" w:type="dxa"/>
            <w:vMerge w:val="continue"/>
            <w:tcBorders>
              <w:left w:val="single" w:color="auto" w:sz="4" w:space="0"/>
              <w:bottom w:val="single" w:color="auto" w:sz="4" w:space="0"/>
              <w:right w:val="single" w:color="auto" w:sz="4" w:space="0"/>
            </w:tcBorders>
            <w:vAlign w:val="center"/>
          </w:tcPr>
          <w:p w14:paraId="1611CCC5">
            <w:pPr>
              <w:jc w:val="center"/>
              <w:rPr>
                <w:rFonts w:ascii="Times New Roman" w:hAnsi="Times New Roman" w:eastAsia="仿宋_GB2312" w:cs="Times New Roman"/>
              </w:rPr>
            </w:pPr>
          </w:p>
        </w:tc>
        <w:tc>
          <w:tcPr>
            <w:tcW w:w="948" w:type="dxa"/>
            <w:vMerge w:val="continue"/>
            <w:tcBorders>
              <w:left w:val="single" w:color="auto" w:sz="4" w:space="0"/>
              <w:bottom w:val="single" w:color="auto" w:sz="4" w:space="0"/>
              <w:right w:val="single" w:color="auto" w:sz="4" w:space="0"/>
            </w:tcBorders>
            <w:vAlign w:val="center"/>
          </w:tcPr>
          <w:p w14:paraId="24668B6F">
            <w:pPr>
              <w:jc w:val="center"/>
              <w:rPr>
                <w:rFonts w:ascii="Times New Roman" w:hAnsi="Times New Roman" w:eastAsia="仿宋_GB2312" w:cs="Times New Roman"/>
              </w:rPr>
            </w:pPr>
          </w:p>
        </w:tc>
        <w:tc>
          <w:tcPr>
            <w:tcW w:w="1048" w:type="dxa"/>
            <w:vMerge w:val="continue"/>
            <w:tcBorders>
              <w:left w:val="single" w:color="auto" w:sz="4" w:space="0"/>
              <w:bottom w:val="single" w:color="auto" w:sz="4" w:space="0"/>
              <w:right w:val="single" w:color="auto" w:sz="4" w:space="0"/>
            </w:tcBorders>
            <w:vAlign w:val="center"/>
          </w:tcPr>
          <w:p w14:paraId="0C2D99BC">
            <w:pPr>
              <w:jc w:val="center"/>
              <w:rPr>
                <w:rFonts w:ascii="Times New Roman" w:hAnsi="Times New Roman" w:eastAsia="仿宋_GB2312" w:cs="Times New Roman"/>
              </w:rPr>
            </w:pPr>
          </w:p>
        </w:tc>
        <w:tc>
          <w:tcPr>
            <w:tcW w:w="1085" w:type="dxa"/>
            <w:vMerge w:val="continue"/>
            <w:tcBorders>
              <w:left w:val="single" w:color="auto" w:sz="4" w:space="0"/>
              <w:bottom w:val="single" w:color="auto" w:sz="4" w:space="0"/>
              <w:right w:val="single" w:color="auto" w:sz="4" w:space="0"/>
            </w:tcBorders>
            <w:vAlign w:val="center"/>
          </w:tcPr>
          <w:p w14:paraId="0BE915D2">
            <w:pPr>
              <w:jc w:val="center"/>
              <w:rPr>
                <w:rFonts w:ascii="Times New Roman" w:hAnsi="Times New Roman" w:eastAsia="仿宋_GB2312" w:cs="Times New Roman"/>
              </w:rPr>
            </w:pPr>
          </w:p>
        </w:tc>
        <w:tc>
          <w:tcPr>
            <w:tcW w:w="1699" w:type="dxa"/>
            <w:tcBorders>
              <w:top w:val="nil"/>
              <w:left w:val="nil"/>
              <w:bottom w:val="single" w:color="auto" w:sz="4" w:space="0"/>
              <w:right w:val="single" w:color="auto" w:sz="4" w:space="0"/>
            </w:tcBorders>
            <w:shd w:val="clear" w:color="auto" w:fill="auto"/>
            <w:vAlign w:val="center"/>
          </w:tcPr>
          <w:p w14:paraId="08FB1568">
            <w:pPr>
              <w:jc w:val="center"/>
              <w:rPr>
                <w:rFonts w:ascii="Times New Roman" w:hAnsi="Times New Roman" w:eastAsia="仿宋_GB2312" w:cs="Times New Roman"/>
              </w:rPr>
            </w:pPr>
            <w:r>
              <w:rPr>
                <w:rFonts w:hint="eastAsia" w:ascii="Times New Roman" w:hAnsi="Times New Roman" w:eastAsia="仿宋_GB2312" w:cs="Times New Roman"/>
              </w:rPr>
              <w:t>事务管理</w:t>
            </w:r>
          </w:p>
        </w:tc>
        <w:tc>
          <w:tcPr>
            <w:tcW w:w="1027" w:type="dxa"/>
            <w:tcBorders>
              <w:top w:val="nil"/>
              <w:left w:val="nil"/>
              <w:bottom w:val="single" w:color="auto" w:sz="4" w:space="0"/>
              <w:right w:val="single" w:color="auto" w:sz="4" w:space="0"/>
            </w:tcBorders>
            <w:shd w:val="clear" w:color="auto" w:fill="auto"/>
            <w:vAlign w:val="center"/>
          </w:tcPr>
          <w:p w14:paraId="0CCD16EF">
            <w:pPr>
              <w:widowControl/>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045" w:type="dxa"/>
            <w:tcBorders>
              <w:top w:val="nil"/>
              <w:left w:val="nil"/>
              <w:bottom w:val="single" w:color="auto" w:sz="4" w:space="0"/>
              <w:right w:val="single" w:color="auto" w:sz="4" w:space="0"/>
            </w:tcBorders>
            <w:shd w:val="clear" w:color="auto" w:fill="auto"/>
            <w:vAlign w:val="center"/>
          </w:tcPr>
          <w:p w14:paraId="0CC331EB">
            <w:pPr>
              <w:widowControl/>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125" w:type="dxa"/>
            <w:tcBorders>
              <w:top w:val="nil"/>
              <w:left w:val="nil"/>
              <w:bottom w:val="single" w:color="auto" w:sz="4" w:space="0"/>
              <w:right w:val="single" w:color="auto" w:sz="4" w:space="0"/>
            </w:tcBorders>
            <w:shd w:val="clear" w:color="auto" w:fill="auto"/>
            <w:vAlign w:val="center"/>
          </w:tcPr>
          <w:p w14:paraId="25061954">
            <w:pPr>
              <w:jc w:val="center"/>
              <w:rPr>
                <w:rFonts w:ascii="Times New Roman" w:hAnsi="Times New Roman" w:eastAsia="仿宋_GB2312" w:cs="Times New Roman"/>
              </w:rPr>
            </w:pPr>
            <w:r>
              <w:rPr>
                <w:rFonts w:hint="eastAsia" w:ascii="Times New Roman" w:hAnsi="Times New Roman" w:eastAsia="仿宋_GB2312" w:cs="Times New Roman"/>
              </w:rPr>
              <w:t>100%</w:t>
            </w:r>
          </w:p>
        </w:tc>
      </w:tr>
      <w:tr w14:paraId="5558AF0B">
        <w:tblPrEx>
          <w:tblCellMar>
            <w:top w:w="0" w:type="dxa"/>
            <w:left w:w="108" w:type="dxa"/>
            <w:bottom w:w="0" w:type="dxa"/>
            <w:right w:w="108" w:type="dxa"/>
          </w:tblCellMar>
        </w:tblPrEx>
        <w:trPr>
          <w:trHeight w:val="442" w:hRule="atLeast"/>
        </w:trPr>
        <w:tc>
          <w:tcPr>
            <w:tcW w:w="970" w:type="dxa"/>
            <w:vMerge w:val="restart"/>
            <w:tcBorders>
              <w:top w:val="nil"/>
              <w:left w:val="single" w:color="auto" w:sz="4" w:space="0"/>
              <w:bottom w:val="single" w:color="auto" w:sz="4" w:space="0"/>
              <w:right w:val="single" w:color="auto" w:sz="4" w:space="0"/>
            </w:tcBorders>
            <w:shd w:val="clear" w:color="auto" w:fill="auto"/>
            <w:vAlign w:val="center"/>
          </w:tcPr>
          <w:p w14:paraId="4D1745CF">
            <w:pPr>
              <w:jc w:val="center"/>
              <w:rPr>
                <w:rFonts w:ascii="Times New Roman" w:hAnsi="Times New Roman" w:eastAsia="仿宋_GB2312" w:cs="Times New Roman"/>
              </w:rPr>
            </w:pPr>
            <w:r>
              <w:rPr>
                <w:rFonts w:hint="eastAsia" w:ascii="Times New Roman" w:hAnsi="Times New Roman" w:eastAsia="仿宋_GB2312" w:cs="Times New Roman"/>
              </w:rPr>
              <w:t>产出</w:t>
            </w:r>
          </w:p>
        </w:tc>
        <w:tc>
          <w:tcPr>
            <w:tcW w:w="948" w:type="dxa"/>
            <w:vMerge w:val="restart"/>
            <w:tcBorders>
              <w:top w:val="nil"/>
              <w:left w:val="single" w:color="auto" w:sz="4" w:space="0"/>
              <w:bottom w:val="single" w:color="auto" w:sz="4" w:space="0"/>
              <w:right w:val="single" w:color="auto" w:sz="4" w:space="0"/>
            </w:tcBorders>
            <w:shd w:val="clear" w:color="auto" w:fill="auto"/>
            <w:vAlign w:val="center"/>
          </w:tcPr>
          <w:p w14:paraId="6BE52115">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w:t>
            </w:r>
          </w:p>
        </w:tc>
        <w:tc>
          <w:tcPr>
            <w:tcW w:w="1048" w:type="dxa"/>
            <w:vMerge w:val="restart"/>
            <w:tcBorders>
              <w:top w:val="nil"/>
              <w:left w:val="single" w:color="auto" w:sz="4" w:space="0"/>
              <w:bottom w:val="single" w:color="auto" w:sz="4" w:space="0"/>
              <w:right w:val="single" w:color="auto" w:sz="4" w:space="0"/>
            </w:tcBorders>
            <w:shd w:val="clear" w:color="auto" w:fill="auto"/>
            <w:vAlign w:val="center"/>
          </w:tcPr>
          <w:p w14:paraId="06559338">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w:t>
            </w:r>
          </w:p>
        </w:tc>
        <w:tc>
          <w:tcPr>
            <w:tcW w:w="1085" w:type="dxa"/>
            <w:vMerge w:val="restart"/>
            <w:tcBorders>
              <w:top w:val="nil"/>
              <w:left w:val="single" w:color="auto" w:sz="4" w:space="0"/>
              <w:bottom w:val="single" w:color="auto" w:sz="4" w:space="0"/>
              <w:right w:val="single" w:color="auto" w:sz="4" w:space="0"/>
            </w:tcBorders>
            <w:shd w:val="clear" w:color="auto" w:fill="auto"/>
            <w:vAlign w:val="center"/>
          </w:tcPr>
          <w:p w14:paraId="38929CD2">
            <w:pPr>
              <w:jc w:val="center"/>
              <w:rPr>
                <w:rFonts w:ascii="Times New Roman" w:hAnsi="Times New Roman" w:eastAsia="仿宋_GB2312" w:cs="Times New Roman"/>
              </w:rPr>
            </w:pPr>
            <w:r>
              <w:rPr>
                <w:rFonts w:hint="eastAsia" w:ascii="Times New Roman" w:hAnsi="Times New Roman" w:eastAsia="仿宋_GB2312" w:cs="Times New Roman"/>
              </w:rPr>
              <w:t>100</w:t>
            </w:r>
            <w:r>
              <w:rPr>
                <w:rFonts w:ascii="Times New Roman" w:hAnsi="Times New Roman" w:eastAsia="仿宋_GB2312" w:cs="Times New Roman"/>
              </w:rPr>
              <w:t>%</w:t>
            </w:r>
          </w:p>
        </w:tc>
        <w:tc>
          <w:tcPr>
            <w:tcW w:w="1699" w:type="dxa"/>
            <w:tcBorders>
              <w:top w:val="nil"/>
              <w:left w:val="nil"/>
              <w:bottom w:val="single" w:color="auto" w:sz="4" w:space="0"/>
              <w:right w:val="single" w:color="auto" w:sz="4" w:space="0"/>
            </w:tcBorders>
            <w:shd w:val="clear" w:color="auto" w:fill="auto"/>
            <w:vAlign w:val="center"/>
          </w:tcPr>
          <w:p w14:paraId="7500C0E5">
            <w:pPr>
              <w:widowControl/>
              <w:jc w:val="center"/>
              <w:rPr>
                <w:rFonts w:ascii="Times New Roman" w:hAnsi="Times New Roman" w:eastAsia="仿宋_GB2312" w:cs="Times New Roman"/>
              </w:rPr>
            </w:pPr>
            <w:r>
              <w:rPr>
                <w:rFonts w:hint="eastAsia" w:ascii="Times New Roman" w:hAnsi="Times New Roman" w:eastAsia="仿宋_GB2312" w:cs="Times New Roman"/>
              </w:rPr>
              <w:t>产出数量</w:t>
            </w:r>
          </w:p>
        </w:tc>
        <w:tc>
          <w:tcPr>
            <w:tcW w:w="1027" w:type="dxa"/>
            <w:tcBorders>
              <w:top w:val="nil"/>
              <w:left w:val="nil"/>
              <w:bottom w:val="single" w:color="auto" w:sz="4" w:space="0"/>
              <w:right w:val="single" w:color="auto" w:sz="4" w:space="0"/>
            </w:tcBorders>
            <w:shd w:val="clear" w:color="auto" w:fill="auto"/>
            <w:vAlign w:val="center"/>
          </w:tcPr>
          <w:p w14:paraId="211644A0">
            <w:pPr>
              <w:widowControl/>
              <w:jc w:val="center"/>
              <w:rPr>
                <w:rFonts w:ascii="Times New Roman" w:hAnsi="Times New Roman" w:eastAsia="仿宋_GB2312" w:cs="Times New Roman"/>
              </w:rPr>
            </w:pPr>
            <w:r>
              <w:rPr>
                <w:rFonts w:hint="eastAsia" w:ascii="Times New Roman" w:hAnsi="Times New Roman" w:eastAsia="仿宋_GB2312" w:cs="Times New Roman"/>
              </w:rPr>
              <w:t>10</w:t>
            </w:r>
          </w:p>
        </w:tc>
        <w:tc>
          <w:tcPr>
            <w:tcW w:w="1045" w:type="dxa"/>
            <w:tcBorders>
              <w:top w:val="nil"/>
              <w:left w:val="nil"/>
              <w:bottom w:val="single" w:color="auto" w:sz="4" w:space="0"/>
              <w:right w:val="single" w:color="auto" w:sz="4" w:space="0"/>
            </w:tcBorders>
            <w:shd w:val="clear" w:color="auto" w:fill="auto"/>
            <w:vAlign w:val="center"/>
          </w:tcPr>
          <w:p w14:paraId="55ED2824">
            <w:pPr>
              <w:widowControl/>
              <w:jc w:val="center"/>
              <w:rPr>
                <w:rFonts w:ascii="Times New Roman" w:hAnsi="Times New Roman" w:eastAsia="仿宋_GB2312" w:cs="Times New Roman"/>
              </w:rPr>
            </w:pPr>
            <w:r>
              <w:rPr>
                <w:rFonts w:hint="eastAsia" w:ascii="Times New Roman" w:hAnsi="Times New Roman" w:eastAsia="仿宋_GB2312" w:cs="Times New Roman"/>
              </w:rPr>
              <w:t>10</w:t>
            </w:r>
          </w:p>
        </w:tc>
        <w:tc>
          <w:tcPr>
            <w:tcW w:w="1125" w:type="dxa"/>
            <w:tcBorders>
              <w:top w:val="nil"/>
              <w:left w:val="nil"/>
              <w:bottom w:val="single" w:color="auto" w:sz="4" w:space="0"/>
              <w:right w:val="single" w:color="auto" w:sz="4" w:space="0"/>
            </w:tcBorders>
            <w:shd w:val="clear" w:color="auto" w:fill="auto"/>
            <w:vAlign w:val="center"/>
          </w:tcPr>
          <w:p w14:paraId="1CC0D98A">
            <w:pPr>
              <w:jc w:val="center"/>
              <w:rPr>
                <w:rFonts w:ascii="Times New Roman" w:hAnsi="Times New Roman" w:eastAsia="仿宋_GB2312" w:cs="Times New Roman"/>
              </w:rPr>
            </w:pPr>
            <w:r>
              <w:rPr>
                <w:rFonts w:hint="eastAsia" w:ascii="Times New Roman" w:hAnsi="Times New Roman" w:eastAsia="仿宋_GB2312" w:cs="Times New Roman"/>
              </w:rPr>
              <w:t>100</w:t>
            </w:r>
            <w:r>
              <w:rPr>
                <w:rFonts w:ascii="Times New Roman" w:hAnsi="Times New Roman" w:eastAsia="仿宋_GB2312" w:cs="Times New Roman"/>
              </w:rPr>
              <w:t>%</w:t>
            </w:r>
          </w:p>
        </w:tc>
      </w:tr>
      <w:tr w14:paraId="71CE5B70">
        <w:tblPrEx>
          <w:tblCellMar>
            <w:top w:w="0" w:type="dxa"/>
            <w:left w:w="108" w:type="dxa"/>
            <w:bottom w:w="0" w:type="dxa"/>
            <w:right w:w="108" w:type="dxa"/>
          </w:tblCellMar>
        </w:tblPrEx>
        <w:trPr>
          <w:trHeight w:val="442" w:hRule="atLeast"/>
        </w:trPr>
        <w:tc>
          <w:tcPr>
            <w:tcW w:w="970" w:type="dxa"/>
            <w:vMerge w:val="continue"/>
            <w:tcBorders>
              <w:top w:val="nil"/>
              <w:left w:val="single" w:color="auto" w:sz="4" w:space="0"/>
              <w:bottom w:val="single" w:color="auto" w:sz="4" w:space="0"/>
              <w:right w:val="single" w:color="auto" w:sz="4" w:space="0"/>
            </w:tcBorders>
            <w:shd w:val="clear" w:color="auto" w:fill="auto"/>
            <w:vAlign w:val="center"/>
          </w:tcPr>
          <w:p w14:paraId="07C92842">
            <w:pPr>
              <w:jc w:val="center"/>
              <w:rPr>
                <w:rFonts w:ascii="Times New Roman" w:hAnsi="Times New Roman" w:eastAsia="仿宋_GB2312" w:cs="Times New Roman"/>
              </w:rPr>
            </w:pPr>
          </w:p>
        </w:tc>
        <w:tc>
          <w:tcPr>
            <w:tcW w:w="948" w:type="dxa"/>
            <w:vMerge w:val="continue"/>
            <w:tcBorders>
              <w:top w:val="nil"/>
              <w:left w:val="single" w:color="auto" w:sz="4" w:space="0"/>
              <w:bottom w:val="single" w:color="auto" w:sz="4" w:space="0"/>
              <w:right w:val="single" w:color="auto" w:sz="4" w:space="0"/>
            </w:tcBorders>
            <w:shd w:val="clear" w:color="auto" w:fill="auto"/>
            <w:vAlign w:val="center"/>
          </w:tcPr>
          <w:p w14:paraId="57E82A08">
            <w:pPr>
              <w:jc w:val="center"/>
              <w:rPr>
                <w:rFonts w:ascii="Times New Roman" w:hAnsi="Times New Roman" w:eastAsia="仿宋_GB2312" w:cs="Times New Roman"/>
              </w:rPr>
            </w:pPr>
          </w:p>
        </w:tc>
        <w:tc>
          <w:tcPr>
            <w:tcW w:w="1048" w:type="dxa"/>
            <w:vMerge w:val="continue"/>
            <w:tcBorders>
              <w:top w:val="nil"/>
              <w:left w:val="single" w:color="auto" w:sz="4" w:space="0"/>
              <w:bottom w:val="single" w:color="auto" w:sz="4" w:space="0"/>
              <w:right w:val="single" w:color="auto" w:sz="4" w:space="0"/>
            </w:tcBorders>
            <w:shd w:val="clear" w:color="auto" w:fill="auto"/>
            <w:vAlign w:val="center"/>
          </w:tcPr>
          <w:p w14:paraId="2229FD36">
            <w:pPr>
              <w:jc w:val="center"/>
              <w:rPr>
                <w:rFonts w:ascii="Times New Roman" w:hAnsi="Times New Roman" w:eastAsia="仿宋_GB2312" w:cs="Times New Roman"/>
              </w:rPr>
            </w:pPr>
          </w:p>
        </w:tc>
        <w:tc>
          <w:tcPr>
            <w:tcW w:w="1085" w:type="dxa"/>
            <w:vMerge w:val="continue"/>
            <w:tcBorders>
              <w:top w:val="nil"/>
              <w:left w:val="single" w:color="auto" w:sz="4" w:space="0"/>
              <w:bottom w:val="single" w:color="auto" w:sz="4" w:space="0"/>
              <w:right w:val="single" w:color="auto" w:sz="4" w:space="0"/>
            </w:tcBorders>
            <w:shd w:val="clear" w:color="auto" w:fill="auto"/>
            <w:vAlign w:val="center"/>
          </w:tcPr>
          <w:p w14:paraId="376AA1E4">
            <w:pPr>
              <w:jc w:val="center"/>
              <w:rPr>
                <w:rFonts w:ascii="Times New Roman" w:hAnsi="Times New Roman" w:eastAsia="仿宋_GB2312" w:cs="Times New Roman"/>
              </w:rPr>
            </w:pPr>
          </w:p>
        </w:tc>
        <w:tc>
          <w:tcPr>
            <w:tcW w:w="1699" w:type="dxa"/>
            <w:tcBorders>
              <w:top w:val="nil"/>
              <w:left w:val="nil"/>
              <w:bottom w:val="single" w:color="auto" w:sz="4" w:space="0"/>
              <w:right w:val="single" w:color="auto" w:sz="4" w:space="0"/>
            </w:tcBorders>
            <w:shd w:val="clear" w:color="auto" w:fill="auto"/>
            <w:vAlign w:val="center"/>
          </w:tcPr>
          <w:p w14:paraId="165417C8">
            <w:pPr>
              <w:widowControl/>
              <w:jc w:val="center"/>
              <w:rPr>
                <w:rFonts w:ascii="Times New Roman" w:hAnsi="Times New Roman" w:eastAsia="仿宋_GB2312" w:cs="Times New Roman"/>
              </w:rPr>
            </w:pPr>
            <w:r>
              <w:rPr>
                <w:rFonts w:hint="eastAsia" w:ascii="Times New Roman" w:hAnsi="Times New Roman" w:eastAsia="仿宋_GB2312" w:cs="Times New Roman"/>
              </w:rPr>
              <w:t>产出质量</w:t>
            </w:r>
          </w:p>
        </w:tc>
        <w:tc>
          <w:tcPr>
            <w:tcW w:w="1027" w:type="dxa"/>
            <w:tcBorders>
              <w:top w:val="nil"/>
              <w:left w:val="nil"/>
              <w:bottom w:val="single" w:color="auto" w:sz="4" w:space="0"/>
              <w:right w:val="single" w:color="auto" w:sz="4" w:space="0"/>
            </w:tcBorders>
            <w:shd w:val="clear" w:color="auto" w:fill="auto"/>
            <w:vAlign w:val="center"/>
          </w:tcPr>
          <w:p w14:paraId="3A327C98">
            <w:pPr>
              <w:widowControl/>
              <w:jc w:val="center"/>
              <w:rPr>
                <w:rFonts w:ascii="Times New Roman" w:hAnsi="Times New Roman" w:eastAsia="仿宋_GB2312" w:cs="Times New Roman"/>
              </w:rPr>
            </w:pPr>
            <w:r>
              <w:rPr>
                <w:rFonts w:hint="eastAsia" w:ascii="Times New Roman" w:hAnsi="Times New Roman" w:eastAsia="仿宋_GB2312" w:cs="Times New Roman"/>
              </w:rPr>
              <w:t>10</w:t>
            </w:r>
          </w:p>
        </w:tc>
        <w:tc>
          <w:tcPr>
            <w:tcW w:w="1045" w:type="dxa"/>
            <w:tcBorders>
              <w:top w:val="nil"/>
              <w:left w:val="nil"/>
              <w:bottom w:val="single" w:color="auto" w:sz="4" w:space="0"/>
              <w:right w:val="single" w:color="auto" w:sz="4" w:space="0"/>
            </w:tcBorders>
            <w:shd w:val="clear" w:color="auto" w:fill="auto"/>
            <w:vAlign w:val="center"/>
          </w:tcPr>
          <w:p w14:paraId="1CF11040">
            <w:pPr>
              <w:widowControl/>
              <w:jc w:val="center"/>
              <w:rPr>
                <w:rFonts w:ascii="Times New Roman" w:hAnsi="Times New Roman" w:eastAsia="仿宋_GB2312" w:cs="Times New Roman"/>
              </w:rPr>
            </w:pPr>
            <w:r>
              <w:rPr>
                <w:rFonts w:hint="eastAsia" w:ascii="Times New Roman" w:hAnsi="Times New Roman" w:eastAsia="仿宋_GB2312" w:cs="Times New Roman"/>
              </w:rPr>
              <w:t>10</w:t>
            </w:r>
          </w:p>
        </w:tc>
        <w:tc>
          <w:tcPr>
            <w:tcW w:w="1125" w:type="dxa"/>
            <w:tcBorders>
              <w:top w:val="nil"/>
              <w:left w:val="nil"/>
              <w:bottom w:val="single" w:color="auto" w:sz="4" w:space="0"/>
              <w:right w:val="single" w:color="auto" w:sz="4" w:space="0"/>
            </w:tcBorders>
            <w:shd w:val="clear" w:color="auto" w:fill="auto"/>
            <w:vAlign w:val="center"/>
          </w:tcPr>
          <w:p w14:paraId="700BF87D">
            <w:pPr>
              <w:jc w:val="center"/>
              <w:rPr>
                <w:rFonts w:ascii="Times New Roman" w:hAnsi="Times New Roman" w:eastAsia="仿宋_GB2312" w:cs="Times New Roman"/>
              </w:rPr>
            </w:pPr>
            <w:r>
              <w:rPr>
                <w:rFonts w:hint="eastAsia" w:ascii="Times New Roman" w:hAnsi="Times New Roman" w:eastAsia="仿宋_GB2312" w:cs="Times New Roman"/>
              </w:rPr>
              <w:t>100%</w:t>
            </w:r>
          </w:p>
        </w:tc>
      </w:tr>
      <w:tr w14:paraId="4455ABCB">
        <w:tblPrEx>
          <w:tblCellMar>
            <w:top w:w="0" w:type="dxa"/>
            <w:left w:w="108" w:type="dxa"/>
            <w:bottom w:w="0" w:type="dxa"/>
            <w:right w:w="108" w:type="dxa"/>
          </w:tblCellMar>
        </w:tblPrEx>
        <w:trPr>
          <w:trHeight w:val="442" w:hRule="atLeast"/>
        </w:trPr>
        <w:tc>
          <w:tcPr>
            <w:tcW w:w="970" w:type="dxa"/>
            <w:vMerge w:val="continue"/>
            <w:tcBorders>
              <w:top w:val="nil"/>
              <w:left w:val="single" w:color="auto" w:sz="4" w:space="0"/>
              <w:bottom w:val="single" w:color="auto" w:sz="4" w:space="0"/>
              <w:right w:val="single" w:color="auto" w:sz="4" w:space="0"/>
            </w:tcBorders>
            <w:shd w:val="clear" w:color="auto" w:fill="auto"/>
            <w:vAlign w:val="center"/>
          </w:tcPr>
          <w:p w14:paraId="5B586369">
            <w:pPr>
              <w:jc w:val="center"/>
              <w:rPr>
                <w:rFonts w:ascii="Times New Roman" w:hAnsi="Times New Roman" w:eastAsia="仿宋_GB2312" w:cs="Times New Roman"/>
              </w:rPr>
            </w:pPr>
          </w:p>
        </w:tc>
        <w:tc>
          <w:tcPr>
            <w:tcW w:w="948" w:type="dxa"/>
            <w:vMerge w:val="continue"/>
            <w:tcBorders>
              <w:top w:val="nil"/>
              <w:left w:val="single" w:color="auto" w:sz="4" w:space="0"/>
              <w:bottom w:val="single" w:color="auto" w:sz="4" w:space="0"/>
              <w:right w:val="single" w:color="auto" w:sz="4" w:space="0"/>
            </w:tcBorders>
            <w:shd w:val="clear" w:color="auto" w:fill="auto"/>
            <w:vAlign w:val="center"/>
          </w:tcPr>
          <w:p w14:paraId="591E6351">
            <w:pPr>
              <w:jc w:val="center"/>
              <w:rPr>
                <w:rFonts w:ascii="Times New Roman" w:hAnsi="Times New Roman" w:eastAsia="仿宋_GB2312" w:cs="Times New Roman"/>
              </w:rPr>
            </w:pPr>
          </w:p>
        </w:tc>
        <w:tc>
          <w:tcPr>
            <w:tcW w:w="1048" w:type="dxa"/>
            <w:vMerge w:val="continue"/>
            <w:tcBorders>
              <w:top w:val="nil"/>
              <w:left w:val="single" w:color="auto" w:sz="4" w:space="0"/>
              <w:bottom w:val="single" w:color="auto" w:sz="4" w:space="0"/>
              <w:right w:val="single" w:color="auto" w:sz="4" w:space="0"/>
            </w:tcBorders>
            <w:shd w:val="clear" w:color="auto" w:fill="auto"/>
            <w:vAlign w:val="center"/>
          </w:tcPr>
          <w:p w14:paraId="767302F0">
            <w:pPr>
              <w:jc w:val="center"/>
              <w:rPr>
                <w:rFonts w:ascii="Times New Roman" w:hAnsi="Times New Roman" w:eastAsia="仿宋_GB2312" w:cs="Times New Roman"/>
              </w:rPr>
            </w:pPr>
          </w:p>
        </w:tc>
        <w:tc>
          <w:tcPr>
            <w:tcW w:w="1085" w:type="dxa"/>
            <w:vMerge w:val="continue"/>
            <w:tcBorders>
              <w:top w:val="nil"/>
              <w:left w:val="single" w:color="auto" w:sz="4" w:space="0"/>
              <w:bottom w:val="single" w:color="auto" w:sz="4" w:space="0"/>
              <w:right w:val="single" w:color="auto" w:sz="4" w:space="0"/>
            </w:tcBorders>
            <w:shd w:val="clear" w:color="auto" w:fill="auto"/>
            <w:vAlign w:val="center"/>
          </w:tcPr>
          <w:p w14:paraId="05F08EF1">
            <w:pPr>
              <w:jc w:val="center"/>
              <w:rPr>
                <w:rFonts w:ascii="Times New Roman" w:hAnsi="Times New Roman" w:eastAsia="仿宋_GB2312" w:cs="Times New Roman"/>
              </w:rPr>
            </w:pPr>
          </w:p>
        </w:tc>
        <w:tc>
          <w:tcPr>
            <w:tcW w:w="1699" w:type="dxa"/>
            <w:tcBorders>
              <w:top w:val="nil"/>
              <w:left w:val="nil"/>
              <w:bottom w:val="single" w:color="auto" w:sz="4" w:space="0"/>
              <w:right w:val="single" w:color="auto" w:sz="4" w:space="0"/>
            </w:tcBorders>
            <w:shd w:val="clear" w:color="auto" w:fill="auto"/>
            <w:vAlign w:val="center"/>
          </w:tcPr>
          <w:p w14:paraId="7BE1D3B3">
            <w:pPr>
              <w:widowControl/>
              <w:jc w:val="center"/>
              <w:rPr>
                <w:rFonts w:ascii="Times New Roman" w:hAnsi="Times New Roman" w:eastAsia="仿宋_GB2312" w:cs="Times New Roman"/>
              </w:rPr>
            </w:pPr>
            <w:r>
              <w:rPr>
                <w:rFonts w:hint="eastAsia" w:ascii="Times New Roman" w:hAnsi="Times New Roman" w:eastAsia="仿宋_GB2312" w:cs="Times New Roman"/>
              </w:rPr>
              <w:t>产出时效</w:t>
            </w:r>
          </w:p>
        </w:tc>
        <w:tc>
          <w:tcPr>
            <w:tcW w:w="1027" w:type="dxa"/>
            <w:tcBorders>
              <w:top w:val="nil"/>
              <w:left w:val="nil"/>
              <w:bottom w:val="single" w:color="auto" w:sz="4" w:space="0"/>
              <w:right w:val="single" w:color="auto" w:sz="4" w:space="0"/>
            </w:tcBorders>
            <w:shd w:val="clear" w:color="auto" w:fill="auto"/>
            <w:vAlign w:val="center"/>
          </w:tcPr>
          <w:p w14:paraId="59B88726">
            <w:pPr>
              <w:widowControl/>
              <w:jc w:val="center"/>
              <w:rPr>
                <w:rFonts w:ascii="Times New Roman" w:hAnsi="Times New Roman" w:eastAsia="仿宋_GB2312" w:cs="Times New Roman"/>
              </w:rPr>
            </w:pPr>
            <w:r>
              <w:rPr>
                <w:rFonts w:hint="eastAsia" w:ascii="Times New Roman" w:hAnsi="Times New Roman" w:eastAsia="仿宋_GB2312" w:cs="Times New Roman"/>
              </w:rPr>
              <w:t>10</w:t>
            </w:r>
          </w:p>
        </w:tc>
        <w:tc>
          <w:tcPr>
            <w:tcW w:w="1045" w:type="dxa"/>
            <w:tcBorders>
              <w:top w:val="nil"/>
              <w:left w:val="nil"/>
              <w:bottom w:val="single" w:color="auto" w:sz="4" w:space="0"/>
              <w:right w:val="single" w:color="auto" w:sz="4" w:space="0"/>
            </w:tcBorders>
            <w:shd w:val="clear" w:color="auto" w:fill="auto"/>
            <w:vAlign w:val="center"/>
          </w:tcPr>
          <w:p w14:paraId="6FA4841E">
            <w:pPr>
              <w:widowControl/>
              <w:jc w:val="center"/>
              <w:rPr>
                <w:rFonts w:ascii="Times New Roman" w:hAnsi="Times New Roman" w:eastAsia="仿宋_GB2312" w:cs="Times New Roman"/>
              </w:rPr>
            </w:pPr>
            <w:r>
              <w:rPr>
                <w:rFonts w:hint="eastAsia" w:ascii="Times New Roman" w:hAnsi="Times New Roman" w:eastAsia="仿宋_GB2312" w:cs="Times New Roman"/>
              </w:rPr>
              <w:t>10</w:t>
            </w:r>
          </w:p>
        </w:tc>
        <w:tc>
          <w:tcPr>
            <w:tcW w:w="1125" w:type="dxa"/>
            <w:tcBorders>
              <w:top w:val="nil"/>
              <w:left w:val="nil"/>
              <w:bottom w:val="single" w:color="auto" w:sz="4" w:space="0"/>
              <w:right w:val="single" w:color="auto" w:sz="4" w:space="0"/>
            </w:tcBorders>
            <w:shd w:val="clear" w:color="auto" w:fill="auto"/>
          </w:tcPr>
          <w:p w14:paraId="67DCF4B1">
            <w:pPr>
              <w:jc w:val="center"/>
            </w:pPr>
            <w:r>
              <w:rPr>
                <w:rFonts w:hint="eastAsia" w:ascii="Times New Roman" w:hAnsi="Times New Roman" w:eastAsia="仿宋_GB2312" w:cs="Times New Roman"/>
              </w:rPr>
              <w:t>100%</w:t>
            </w:r>
          </w:p>
        </w:tc>
      </w:tr>
      <w:tr w14:paraId="6C739994">
        <w:tblPrEx>
          <w:tblCellMar>
            <w:top w:w="0" w:type="dxa"/>
            <w:left w:w="108" w:type="dxa"/>
            <w:bottom w:w="0" w:type="dxa"/>
            <w:right w:w="108" w:type="dxa"/>
          </w:tblCellMar>
        </w:tblPrEx>
        <w:trPr>
          <w:trHeight w:val="442" w:hRule="atLeast"/>
        </w:trPr>
        <w:tc>
          <w:tcPr>
            <w:tcW w:w="970" w:type="dxa"/>
            <w:vMerge w:val="continue"/>
            <w:tcBorders>
              <w:top w:val="nil"/>
              <w:left w:val="single" w:color="auto" w:sz="4" w:space="0"/>
              <w:bottom w:val="single" w:color="auto" w:sz="4" w:space="0"/>
              <w:right w:val="single" w:color="auto" w:sz="4" w:space="0"/>
            </w:tcBorders>
            <w:vAlign w:val="center"/>
          </w:tcPr>
          <w:p w14:paraId="79E19CF8">
            <w:pPr>
              <w:jc w:val="center"/>
              <w:rPr>
                <w:rFonts w:ascii="Times New Roman" w:hAnsi="Times New Roman" w:eastAsia="仿宋_GB2312" w:cs="Times New Roman"/>
              </w:rPr>
            </w:pPr>
          </w:p>
        </w:tc>
        <w:tc>
          <w:tcPr>
            <w:tcW w:w="948" w:type="dxa"/>
            <w:vMerge w:val="continue"/>
            <w:tcBorders>
              <w:top w:val="nil"/>
              <w:left w:val="single" w:color="auto" w:sz="4" w:space="0"/>
              <w:bottom w:val="single" w:color="auto" w:sz="4" w:space="0"/>
              <w:right w:val="single" w:color="auto" w:sz="4" w:space="0"/>
            </w:tcBorders>
            <w:vAlign w:val="center"/>
          </w:tcPr>
          <w:p w14:paraId="329CA37C">
            <w:pPr>
              <w:jc w:val="center"/>
              <w:rPr>
                <w:rFonts w:ascii="Times New Roman" w:hAnsi="Times New Roman" w:eastAsia="仿宋_GB2312" w:cs="Times New Roman"/>
              </w:rPr>
            </w:pPr>
          </w:p>
        </w:tc>
        <w:tc>
          <w:tcPr>
            <w:tcW w:w="1048" w:type="dxa"/>
            <w:vMerge w:val="continue"/>
            <w:tcBorders>
              <w:top w:val="nil"/>
              <w:left w:val="single" w:color="auto" w:sz="4" w:space="0"/>
              <w:bottom w:val="single" w:color="auto" w:sz="4" w:space="0"/>
              <w:right w:val="single" w:color="auto" w:sz="4" w:space="0"/>
            </w:tcBorders>
            <w:vAlign w:val="center"/>
          </w:tcPr>
          <w:p w14:paraId="77B07415">
            <w:pPr>
              <w:jc w:val="center"/>
              <w:rPr>
                <w:rFonts w:ascii="Times New Roman" w:hAnsi="Times New Roman" w:eastAsia="仿宋_GB2312" w:cs="Times New Roman"/>
              </w:rPr>
            </w:pPr>
          </w:p>
        </w:tc>
        <w:tc>
          <w:tcPr>
            <w:tcW w:w="1085" w:type="dxa"/>
            <w:vMerge w:val="continue"/>
            <w:tcBorders>
              <w:top w:val="nil"/>
              <w:left w:val="single" w:color="auto" w:sz="4" w:space="0"/>
              <w:bottom w:val="single" w:color="auto" w:sz="4" w:space="0"/>
              <w:right w:val="single" w:color="auto" w:sz="4" w:space="0"/>
            </w:tcBorders>
            <w:vAlign w:val="center"/>
          </w:tcPr>
          <w:p w14:paraId="64892230">
            <w:pPr>
              <w:jc w:val="center"/>
              <w:rPr>
                <w:rFonts w:ascii="Times New Roman" w:hAnsi="Times New Roman" w:eastAsia="仿宋_GB2312" w:cs="Times New Roman"/>
              </w:rPr>
            </w:pPr>
          </w:p>
        </w:tc>
        <w:tc>
          <w:tcPr>
            <w:tcW w:w="1699" w:type="dxa"/>
            <w:tcBorders>
              <w:top w:val="nil"/>
              <w:left w:val="nil"/>
              <w:bottom w:val="single" w:color="auto" w:sz="4" w:space="0"/>
              <w:right w:val="single" w:color="auto" w:sz="4" w:space="0"/>
            </w:tcBorders>
            <w:shd w:val="clear" w:color="auto" w:fill="auto"/>
            <w:vAlign w:val="center"/>
          </w:tcPr>
          <w:p w14:paraId="6E82927E">
            <w:pPr>
              <w:jc w:val="center"/>
              <w:rPr>
                <w:rFonts w:ascii="Times New Roman" w:hAnsi="Times New Roman" w:eastAsia="仿宋_GB2312" w:cs="Times New Roman"/>
              </w:rPr>
            </w:pPr>
            <w:r>
              <w:rPr>
                <w:rFonts w:hint="eastAsia" w:ascii="Times New Roman" w:hAnsi="Times New Roman" w:eastAsia="仿宋_GB2312" w:cs="Times New Roman"/>
              </w:rPr>
              <w:t>产出成本</w:t>
            </w:r>
          </w:p>
        </w:tc>
        <w:tc>
          <w:tcPr>
            <w:tcW w:w="1027" w:type="dxa"/>
            <w:tcBorders>
              <w:top w:val="nil"/>
              <w:left w:val="nil"/>
              <w:bottom w:val="single" w:color="auto" w:sz="4" w:space="0"/>
              <w:right w:val="single" w:color="auto" w:sz="4" w:space="0"/>
            </w:tcBorders>
            <w:shd w:val="clear" w:color="auto" w:fill="auto"/>
            <w:vAlign w:val="center"/>
          </w:tcPr>
          <w:p w14:paraId="08910173">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w:t>
            </w:r>
          </w:p>
        </w:tc>
        <w:tc>
          <w:tcPr>
            <w:tcW w:w="1045" w:type="dxa"/>
            <w:tcBorders>
              <w:top w:val="nil"/>
              <w:left w:val="nil"/>
              <w:bottom w:val="single" w:color="auto" w:sz="4" w:space="0"/>
              <w:right w:val="single" w:color="auto" w:sz="4" w:space="0"/>
            </w:tcBorders>
            <w:shd w:val="clear" w:color="auto" w:fill="auto"/>
            <w:vAlign w:val="center"/>
          </w:tcPr>
          <w:p w14:paraId="632D87CC">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w:t>
            </w:r>
          </w:p>
        </w:tc>
        <w:tc>
          <w:tcPr>
            <w:tcW w:w="1125" w:type="dxa"/>
            <w:tcBorders>
              <w:top w:val="nil"/>
              <w:left w:val="nil"/>
              <w:bottom w:val="single" w:color="auto" w:sz="4" w:space="0"/>
              <w:right w:val="single" w:color="auto" w:sz="4" w:space="0"/>
            </w:tcBorders>
            <w:shd w:val="clear" w:color="auto" w:fill="auto"/>
          </w:tcPr>
          <w:p w14:paraId="0C11250F">
            <w:pPr>
              <w:jc w:val="center"/>
            </w:pPr>
            <w:r>
              <w:rPr>
                <w:rFonts w:hint="eastAsia" w:ascii="Times New Roman" w:hAnsi="Times New Roman" w:eastAsia="仿宋_GB2312" w:cs="Times New Roman"/>
              </w:rPr>
              <w:t>100%</w:t>
            </w:r>
          </w:p>
        </w:tc>
      </w:tr>
      <w:tr w14:paraId="729867B4">
        <w:tblPrEx>
          <w:tblCellMar>
            <w:top w:w="0" w:type="dxa"/>
            <w:left w:w="108" w:type="dxa"/>
            <w:bottom w:w="0" w:type="dxa"/>
            <w:right w:w="108" w:type="dxa"/>
          </w:tblCellMar>
        </w:tblPrEx>
        <w:trPr>
          <w:trHeight w:val="442" w:hRule="atLeast"/>
        </w:trPr>
        <w:tc>
          <w:tcPr>
            <w:tcW w:w="970" w:type="dxa"/>
            <w:vMerge w:val="restart"/>
            <w:tcBorders>
              <w:top w:val="nil"/>
              <w:left w:val="single" w:color="auto" w:sz="4" w:space="0"/>
              <w:right w:val="single" w:color="auto" w:sz="4" w:space="0"/>
            </w:tcBorders>
            <w:vAlign w:val="center"/>
          </w:tcPr>
          <w:p w14:paraId="61E91EEF">
            <w:pPr>
              <w:widowControl/>
              <w:jc w:val="center"/>
              <w:rPr>
                <w:rFonts w:ascii="Times New Roman" w:hAnsi="Times New Roman" w:eastAsia="仿宋_GB2312" w:cs="Times New Roman"/>
              </w:rPr>
            </w:pPr>
            <w:r>
              <w:rPr>
                <w:rFonts w:hint="eastAsia" w:ascii="Times New Roman" w:hAnsi="Times New Roman" w:eastAsia="仿宋_GB2312" w:cs="Times New Roman"/>
              </w:rPr>
              <w:t>效益</w:t>
            </w:r>
          </w:p>
        </w:tc>
        <w:tc>
          <w:tcPr>
            <w:tcW w:w="948" w:type="dxa"/>
            <w:vMerge w:val="restart"/>
            <w:tcBorders>
              <w:top w:val="nil"/>
              <w:left w:val="single" w:color="auto" w:sz="4" w:space="0"/>
              <w:right w:val="single" w:color="auto" w:sz="4" w:space="0"/>
            </w:tcBorders>
            <w:vAlign w:val="center"/>
          </w:tcPr>
          <w:p w14:paraId="2A936DBE">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rPr>
              <w:t>1</w:t>
            </w:r>
            <w:r>
              <w:rPr>
                <w:rFonts w:hint="eastAsia" w:ascii="Times New Roman" w:hAnsi="Times New Roman" w:eastAsia="仿宋_GB2312" w:cs="Times New Roman"/>
                <w:lang w:val="en-US" w:eastAsia="zh-CN"/>
              </w:rPr>
              <w:t>0</w:t>
            </w:r>
          </w:p>
        </w:tc>
        <w:tc>
          <w:tcPr>
            <w:tcW w:w="1048" w:type="dxa"/>
            <w:vMerge w:val="restart"/>
            <w:tcBorders>
              <w:top w:val="nil"/>
              <w:left w:val="single" w:color="auto" w:sz="4" w:space="0"/>
              <w:right w:val="single" w:color="auto" w:sz="4" w:space="0"/>
            </w:tcBorders>
            <w:vAlign w:val="center"/>
          </w:tcPr>
          <w:p w14:paraId="054689E4">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w:t>
            </w:r>
          </w:p>
        </w:tc>
        <w:tc>
          <w:tcPr>
            <w:tcW w:w="1085" w:type="dxa"/>
            <w:vMerge w:val="restart"/>
            <w:tcBorders>
              <w:top w:val="nil"/>
              <w:left w:val="single" w:color="auto" w:sz="4" w:space="0"/>
              <w:right w:val="single" w:color="auto" w:sz="4" w:space="0"/>
            </w:tcBorders>
            <w:vAlign w:val="center"/>
          </w:tcPr>
          <w:p w14:paraId="3C264EA4">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w:t>
            </w:r>
          </w:p>
        </w:tc>
        <w:tc>
          <w:tcPr>
            <w:tcW w:w="1699" w:type="dxa"/>
            <w:tcBorders>
              <w:top w:val="nil"/>
              <w:left w:val="nil"/>
              <w:bottom w:val="single" w:color="auto" w:sz="4" w:space="0"/>
              <w:right w:val="single" w:color="auto" w:sz="4" w:space="0"/>
            </w:tcBorders>
            <w:shd w:val="clear" w:color="auto" w:fill="auto"/>
            <w:vAlign w:val="center"/>
          </w:tcPr>
          <w:p w14:paraId="1F45D089">
            <w:pPr>
              <w:widowControl/>
              <w:jc w:val="center"/>
              <w:rPr>
                <w:rFonts w:ascii="Times New Roman" w:hAnsi="Times New Roman" w:eastAsia="仿宋_GB2312" w:cs="Times New Roman"/>
              </w:rPr>
            </w:pPr>
            <w:r>
              <w:rPr>
                <w:rFonts w:hint="eastAsia" w:ascii="Times New Roman" w:hAnsi="Times New Roman" w:eastAsia="仿宋_GB2312" w:cs="Times New Roman"/>
              </w:rPr>
              <w:t>社会效益</w:t>
            </w:r>
          </w:p>
        </w:tc>
        <w:tc>
          <w:tcPr>
            <w:tcW w:w="1027" w:type="dxa"/>
            <w:tcBorders>
              <w:top w:val="nil"/>
              <w:left w:val="nil"/>
              <w:bottom w:val="single" w:color="auto" w:sz="4" w:space="0"/>
              <w:right w:val="single" w:color="auto" w:sz="4" w:space="0"/>
            </w:tcBorders>
            <w:shd w:val="clear" w:color="auto" w:fill="auto"/>
            <w:vAlign w:val="center"/>
          </w:tcPr>
          <w:p w14:paraId="4468A99C">
            <w:pPr>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045" w:type="dxa"/>
            <w:tcBorders>
              <w:top w:val="nil"/>
              <w:left w:val="nil"/>
              <w:bottom w:val="single" w:color="auto" w:sz="4" w:space="0"/>
              <w:right w:val="single" w:color="auto" w:sz="4" w:space="0"/>
            </w:tcBorders>
            <w:shd w:val="clear" w:color="auto" w:fill="auto"/>
            <w:vAlign w:val="center"/>
          </w:tcPr>
          <w:p w14:paraId="550023B4">
            <w:pPr>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125" w:type="dxa"/>
            <w:tcBorders>
              <w:top w:val="nil"/>
              <w:left w:val="nil"/>
              <w:bottom w:val="single" w:color="auto" w:sz="4" w:space="0"/>
              <w:right w:val="single" w:color="auto" w:sz="4" w:space="0"/>
            </w:tcBorders>
            <w:shd w:val="clear" w:color="auto" w:fill="auto"/>
            <w:vAlign w:val="center"/>
          </w:tcPr>
          <w:p w14:paraId="6C8FA0EE">
            <w:pPr>
              <w:jc w:val="center"/>
              <w:rPr>
                <w:rFonts w:ascii="Times New Roman" w:hAnsi="Times New Roman" w:eastAsia="仿宋_GB2312" w:cs="Times New Roman"/>
              </w:rPr>
            </w:pPr>
            <w:r>
              <w:rPr>
                <w:rFonts w:hint="eastAsia" w:ascii="Times New Roman" w:hAnsi="Times New Roman" w:eastAsia="仿宋_GB2312" w:cs="Times New Roman"/>
              </w:rPr>
              <w:t>100</w:t>
            </w:r>
            <w:r>
              <w:rPr>
                <w:rFonts w:ascii="Times New Roman" w:hAnsi="Times New Roman" w:eastAsia="仿宋_GB2312" w:cs="Times New Roman"/>
              </w:rPr>
              <w:t>%</w:t>
            </w:r>
          </w:p>
        </w:tc>
      </w:tr>
      <w:tr w14:paraId="6A89CF6C">
        <w:tblPrEx>
          <w:tblCellMar>
            <w:top w:w="0" w:type="dxa"/>
            <w:left w:w="108" w:type="dxa"/>
            <w:bottom w:w="0" w:type="dxa"/>
            <w:right w:w="108" w:type="dxa"/>
          </w:tblCellMar>
        </w:tblPrEx>
        <w:trPr>
          <w:trHeight w:val="442" w:hRule="atLeast"/>
        </w:trPr>
        <w:tc>
          <w:tcPr>
            <w:tcW w:w="970" w:type="dxa"/>
            <w:vMerge w:val="continue"/>
            <w:tcBorders>
              <w:left w:val="single" w:color="auto" w:sz="4" w:space="0"/>
              <w:bottom w:val="single" w:color="auto" w:sz="4" w:space="0"/>
              <w:right w:val="single" w:color="auto" w:sz="4" w:space="0"/>
            </w:tcBorders>
            <w:vAlign w:val="center"/>
          </w:tcPr>
          <w:p w14:paraId="237F9EE6">
            <w:pPr>
              <w:jc w:val="center"/>
              <w:rPr>
                <w:rFonts w:ascii="Times New Roman" w:hAnsi="Times New Roman" w:eastAsia="仿宋_GB2312" w:cs="Times New Roman"/>
              </w:rPr>
            </w:pPr>
          </w:p>
        </w:tc>
        <w:tc>
          <w:tcPr>
            <w:tcW w:w="948" w:type="dxa"/>
            <w:vMerge w:val="continue"/>
            <w:tcBorders>
              <w:left w:val="single" w:color="auto" w:sz="4" w:space="0"/>
              <w:bottom w:val="single" w:color="auto" w:sz="4" w:space="0"/>
              <w:right w:val="single" w:color="auto" w:sz="4" w:space="0"/>
            </w:tcBorders>
            <w:vAlign w:val="center"/>
          </w:tcPr>
          <w:p w14:paraId="79C3F398">
            <w:pPr>
              <w:jc w:val="center"/>
              <w:rPr>
                <w:rFonts w:ascii="Times New Roman" w:hAnsi="Times New Roman" w:eastAsia="仿宋_GB2312" w:cs="Times New Roman"/>
              </w:rPr>
            </w:pPr>
          </w:p>
        </w:tc>
        <w:tc>
          <w:tcPr>
            <w:tcW w:w="1048" w:type="dxa"/>
            <w:vMerge w:val="continue"/>
            <w:tcBorders>
              <w:left w:val="single" w:color="auto" w:sz="4" w:space="0"/>
              <w:bottom w:val="single" w:color="auto" w:sz="4" w:space="0"/>
              <w:right w:val="single" w:color="auto" w:sz="4" w:space="0"/>
            </w:tcBorders>
            <w:vAlign w:val="center"/>
          </w:tcPr>
          <w:p w14:paraId="2FA1FA0E">
            <w:pPr>
              <w:jc w:val="center"/>
              <w:rPr>
                <w:rFonts w:ascii="Times New Roman" w:hAnsi="Times New Roman" w:eastAsia="仿宋_GB2312" w:cs="Times New Roman"/>
              </w:rPr>
            </w:pPr>
          </w:p>
        </w:tc>
        <w:tc>
          <w:tcPr>
            <w:tcW w:w="1085" w:type="dxa"/>
            <w:vMerge w:val="continue"/>
            <w:tcBorders>
              <w:left w:val="single" w:color="auto" w:sz="4" w:space="0"/>
              <w:bottom w:val="single" w:color="auto" w:sz="4" w:space="0"/>
              <w:right w:val="single" w:color="auto" w:sz="4" w:space="0"/>
            </w:tcBorders>
            <w:vAlign w:val="center"/>
          </w:tcPr>
          <w:p w14:paraId="5FE05CF6">
            <w:pPr>
              <w:jc w:val="center"/>
              <w:rPr>
                <w:rFonts w:ascii="Times New Roman" w:hAnsi="Times New Roman" w:eastAsia="仿宋_GB2312" w:cs="Times New Roman"/>
              </w:rPr>
            </w:pPr>
          </w:p>
        </w:tc>
        <w:tc>
          <w:tcPr>
            <w:tcW w:w="1699" w:type="dxa"/>
            <w:tcBorders>
              <w:top w:val="nil"/>
              <w:left w:val="nil"/>
              <w:bottom w:val="single" w:color="auto" w:sz="4" w:space="0"/>
              <w:right w:val="single" w:color="auto" w:sz="4" w:space="0"/>
            </w:tcBorders>
            <w:shd w:val="clear" w:color="auto" w:fill="auto"/>
            <w:vAlign w:val="center"/>
          </w:tcPr>
          <w:p w14:paraId="40643F86">
            <w:pPr>
              <w:widowControl/>
              <w:jc w:val="center"/>
              <w:rPr>
                <w:rFonts w:ascii="Times New Roman" w:hAnsi="Times New Roman" w:eastAsia="仿宋_GB2312" w:cs="Times New Roman"/>
              </w:rPr>
            </w:pPr>
            <w:r>
              <w:rPr>
                <w:rFonts w:hint="eastAsia" w:ascii="Times New Roman" w:hAnsi="Times New Roman" w:eastAsia="仿宋_GB2312" w:cs="Times New Roman"/>
              </w:rPr>
              <w:t>服务对象</w:t>
            </w:r>
          </w:p>
          <w:p w14:paraId="0C8F157E">
            <w:pPr>
              <w:widowControl/>
              <w:jc w:val="center"/>
              <w:rPr>
                <w:rFonts w:ascii="Times New Roman" w:hAnsi="Times New Roman" w:eastAsia="仿宋_GB2312" w:cs="Times New Roman"/>
              </w:rPr>
            </w:pPr>
            <w:r>
              <w:rPr>
                <w:rFonts w:hint="eastAsia" w:ascii="Times New Roman" w:hAnsi="Times New Roman" w:eastAsia="仿宋_GB2312" w:cs="Times New Roman"/>
              </w:rPr>
              <w:t>满意度</w:t>
            </w:r>
          </w:p>
        </w:tc>
        <w:tc>
          <w:tcPr>
            <w:tcW w:w="1027" w:type="dxa"/>
            <w:tcBorders>
              <w:top w:val="nil"/>
              <w:left w:val="nil"/>
              <w:bottom w:val="single" w:color="auto" w:sz="4" w:space="0"/>
              <w:right w:val="single" w:color="auto" w:sz="4" w:space="0"/>
            </w:tcBorders>
            <w:shd w:val="clear" w:color="auto" w:fill="auto"/>
            <w:vAlign w:val="center"/>
          </w:tcPr>
          <w:p w14:paraId="7E9CF76F">
            <w:pPr>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045" w:type="dxa"/>
            <w:tcBorders>
              <w:top w:val="nil"/>
              <w:left w:val="nil"/>
              <w:bottom w:val="single" w:color="auto" w:sz="4" w:space="0"/>
              <w:right w:val="single" w:color="auto" w:sz="4" w:space="0"/>
            </w:tcBorders>
            <w:shd w:val="clear" w:color="auto" w:fill="auto"/>
            <w:vAlign w:val="center"/>
          </w:tcPr>
          <w:p w14:paraId="61964602">
            <w:pPr>
              <w:jc w:val="center"/>
              <w:rPr>
                <w:rFonts w:ascii="Times New Roman" w:hAnsi="Times New Roman" w:eastAsia="仿宋_GB2312" w:cs="Times New Roman"/>
              </w:rPr>
            </w:pPr>
            <w:r>
              <w:rPr>
                <w:rFonts w:hint="eastAsia" w:ascii="Times New Roman" w:hAnsi="Times New Roman" w:eastAsia="仿宋_GB2312" w:cs="Times New Roman"/>
              </w:rPr>
              <w:t>5</w:t>
            </w:r>
          </w:p>
        </w:tc>
        <w:tc>
          <w:tcPr>
            <w:tcW w:w="1125" w:type="dxa"/>
            <w:tcBorders>
              <w:top w:val="nil"/>
              <w:left w:val="nil"/>
              <w:bottom w:val="single" w:color="auto" w:sz="4" w:space="0"/>
              <w:right w:val="single" w:color="auto" w:sz="4" w:space="0"/>
            </w:tcBorders>
            <w:shd w:val="clear" w:color="auto" w:fill="auto"/>
            <w:vAlign w:val="center"/>
          </w:tcPr>
          <w:p w14:paraId="352E75B2">
            <w:pPr>
              <w:jc w:val="center"/>
              <w:rPr>
                <w:rFonts w:ascii="Times New Roman" w:hAnsi="Times New Roman" w:eastAsia="仿宋_GB2312" w:cs="Times New Roman"/>
              </w:rPr>
            </w:pPr>
            <w:r>
              <w:rPr>
                <w:rFonts w:hint="eastAsia" w:ascii="Times New Roman" w:hAnsi="Times New Roman" w:eastAsia="仿宋_GB2312" w:cs="Times New Roman"/>
              </w:rPr>
              <w:t>100</w:t>
            </w:r>
            <w:r>
              <w:rPr>
                <w:rFonts w:ascii="Times New Roman" w:hAnsi="Times New Roman" w:eastAsia="仿宋_GB2312" w:cs="Times New Roman"/>
              </w:rPr>
              <w:t>%</w:t>
            </w:r>
          </w:p>
        </w:tc>
      </w:tr>
      <w:tr w14:paraId="51603B96">
        <w:tblPrEx>
          <w:tblCellMar>
            <w:top w:w="0" w:type="dxa"/>
            <w:left w:w="108" w:type="dxa"/>
            <w:bottom w:w="0" w:type="dxa"/>
            <w:right w:w="108" w:type="dxa"/>
          </w:tblCellMar>
        </w:tblPrEx>
        <w:trPr>
          <w:trHeight w:val="442" w:hRule="atLeast"/>
        </w:trPr>
        <w:tc>
          <w:tcPr>
            <w:tcW w:w="970" w:type="dxa"/>
            <w:tcBorders>
              <w:top w:val="nil"/>
              <w:left w:val="single" w:color="auto" w:sz="4" w:space="0"/>
              <w:bottom w:val="single" w:color="auto" w:sz="4" w:space="0"/>
              <w:right w:val="single" w:color="auto" w:sz="4" w:space="0"/>
            </w:tcBorders>
            <w:shd w:val="clear" w:color="auto" w:fill="auto"/>
            <w:noWrap/>
            <w:vAlign w:val="center"/>
          </w:tcPr>
          <w:p w14:paraId="7706A892">
            <w:pPr>
              <w:jc w:val="center"/>
              <w:rPr>
                <w:rFonts w:ascii="Times New Roman" w:hAnsi="Times New Roman" w:eastAsia="仿宋_GB2312" w:cs="Times New Roman"/>
                <w:b/>
                <w:bCs/>
              </w:rPr>
            </w:pPr>
            <w:r>
              <w:rPr>
                <w:rFonts w:hint="eastAsia" w:ascii="Times New Roman" w:hAnsi="Times New Roman" w:eastAsia="仿宋_GB2312" w:cs="Times New Roman"/>
                <w:b/>
                <w:bCs/>
              </w:rPr>
              <w:t>合计</w:t>
            </w:r>
          </w:p>
        </w:tc>
        <w:tc>
          <w:tcPr>
            <w:tcW w:w="948" w:type="dxa"/>
            <w:tcBorders>
              <w:top w:val="nil"/>
              <w:left w:val="nil"/>
              <w:bottom w:val="single" w:color="auto" w:sz="4" w:space="0"/>
              <w:right w:val="single" w:color="auto" w:sz="4" w:space="0"/>
            </w:tcBorders>
            <w:shd w:val="clear" w:color="auto" w:fill="auto"/>
            <w:noWrap/>
            <w:vAlign w:val="center"/>
          </w:tcPr>
          <w:p w14:paraId="407ED79C">
            <w:pPr>
              <w:jc w:val="center"/>
              <w:rPr>
                <w:rFonts w:ascii="Times New Roman" w:hAnsi="Times New Roman" w:eastAsia="仿宋_GB2312" w:cs="Times New Roman"/>
                <w:b/>
                <w:bCs/>
              </w:rPr>
            </w:pPr>
            <w:r>
              <w:rPr>
                <w:rFonts w:hint="eastAsia" w:ascii="Times New Roman" w:hAnsi="Times New Roman" w:eastAsia="仿宋_GB2312" w:cs="Times New Roman"/>
                <w:b/>
                <w:bCs/>
              </w:rPr>
              <w:t>100</w:t>
            </w:r>
          </w:p>
        </w:tc>
        <w:tc>
          <w:tcPr>
            <w:tcW w:w="1048" w:type="dxa"/>
            <w:tcBorders>
              <w:top w:val="nil"/>
              <w:left w:val="nil"/>
              <w:bottom w:val="single" w:color="auto" w:sz="4" w:space="0"/>
              <w:right w:val="single" w:color="auto" w:sz="4" w:space="0"/>
            </w:tcBorders>
            <w:shd w:val="clear" w:color="auto" w:fill="auto"/>
            <w:noWrap/>
            <w:vAlign w:val="center"/>
          </w:tcPr>
          <w:p w14:paraId="41A2E275">
            <w:pPr>
              <w:jc w:val="center"/>
              <w:rPr>
                <w:rFonts w:hint="eastAsia" w:ascii="Times New Roman" w:hAnsi="Times New Roman" w:eastAsia="仿宋_GB2312" w:cs="Times New Roman"/>
                <w:b/>
                <w:bCs/>
                <w:lang w:eastAsia="zh-CN"/>
              </w:rPr>
            </w:pPr>
            <w:r>
              <w:rPr>
                <w:rFonts w:hint="eastAsia" w:ascii="Times New Roman" w:hAnsi="Times New Roman" w:eastAsia="仿宋_GB2312" w:cs="Times New Roman"/>
                <w:b/>
                <w:bCs/>
              </w:rPr>
              <w:t>9</w:t>
            </w:r>
            <w:r>
              <w:rPr>
                <w:rFonts w:hint="eastAsia" w:ascii="Times New Roman" w:hAnsi="Times New Roman" w:eastAsia="仿宋_GB2312" w:cs="Times New Roman"/>
                <w:b/>
                <w:bCs/>
                <w:lang w:val="en-US" w:eastAsia="zh-CN"/>
              </w:rPr>
              <w:t>5</w:t>
            </w:r>
          </w:p>
        </w:tc>
        <w:tc>
          <w:tcPr>
            <w:tcW w:w="1085" w:type="dxa"/>
            <w:tcBorders>
              <w:top w:val="nil"/>
              <w:left w:val="nil"/>
              <w:bottom w:val="single" w:color="auto" w:sz="4" w:space="0"/>
              <w:right w:val="single" w:color="auto" w:sz="4" w:space="0"/>
            </w:tcBorders>
            <w:shd w:val="clear" w:color="auto" w:fill="auto"/>
            <w:noWrap/>
            <w:vAlign w:val="center"/>
          </w:tcPr>
          <w:p w14:paraId="3479DF24">
            <w:pPr>
              <w:jc w:val="center"/>
              <w:rPr>
                <w:rFonts w:ascii="Times New Roman" w:hAnsi="Times New Roman" w:eastAsia="仿宋_GB2312" w:cs="Times New Roman"/>
                <w:b/>
                <w:bCs/>
              </w:rPr>
            </w:pPr>
            <w:r>
              <w:rPr>
                <w:rFonts w:hint="eastAsia" w:ascii="Times New Roman" w:hAnsi="Times New Roman" w:eastAsia="仿宋_GB2312" w:cs="Times New Roman"/>
                <w:b/>
                <w:bCs/>
              </w:rPr>
              <w:t>9</w:t>
            </w:r>
            <w:r>
              <w:rPr>
                <w:rFonts w:hint="eastAsia" w:ascii="Times New Roman" w:hAnsi="Times New Roman" w:eastAsia="仿宋_GB2312" w:cs="Times New Roman"/>
                <w:b/>
                <w:bCs/>
                <w:lang w:val="en-US" w:eastAsia="zh-CN"/>
              </w:rPr>
              <w:t>5</w:t>
            </w:r>
            <w:r>
              <w:rPr>
                <w:rFonts w:ascii="Times New Roman" w:hAnsi="Times New Roman" w:eastAsia="仿宋_GB2312" w:cs="Times New Roman"/>
                <w:b/>
                <w:bCs/>
              </w:rPr>
              <w:t>%</w:t>
            </w:r>
          </w:p>
        </w:tc>
        <w:tc>
          <w:tcPr>
            <w:tcW w:w="1699" w:type="dxa"/>
            <w:tcBorders>
              <w:top w:val="nil"/>
              <w:left w:val="nil"/>
              <w:bottom w:val="single" w:color="auto" w:sz="4" w:space="0"/>
              <w:right w:val="single" w:color="auto" w:sz="4" w:space="0"/>
            </w:tcBorders>
            <w:shd w:val="clear" w:color="auto" w:fill="auto"/>
            <w:noWrap/>
            <w:vAlign w:val="center"/>
          </w:tcPr>
          <w:p w14:paraId="1AB32692">
            <w:pPr>
              <w:jc w:val="center"/>
              <w:rPr>
                <w:rFonts w:ascii="Times New Roman" w:hAnsi="Times New Roman" w:eastAsia="仿宋_GB2312" w:cs="Times New Roman"/>
                <w:b/>
                <w:bCs/>
              </w:rPr>
            </w:pPr>
            <w:r>
              <w:rPr>
                <w:rFonts w:ascii="Times New Roman" w:hAnsi="Times New Roman" w:eastAsia="仿宋_GB2312" w:cs="Times New Roman"/>
                <w:b/>
                <w:bCs/>
              </w:rPr>
              <w:t>——</w:t>
            </w:r>
          </w:p>
        </w:tc>
        <w:tc>
          <w:tcPr>
            <w:tcW w:w="1027" w:type="dxa"/>
            <w:tcBorders>
              <w:top w:val="nil"/>
              <w:left w:val="nil"/>
              <w:bottom w:val="single" w:color="auto" w:sz="4" w:space="0"/>
              <w:right w:val="single" w:color="auto" w:sz="4" w:space="0"/>
            </w:tcBorders>
            <w:shd w:val="clear" w:color="auto" w:fill="auto"/>
            <w:noWrap/>
            <w:vAlign w:val="center"/>
          </w:tcPr>
          <w:p w14:paraId="05D925B8">
            <w:pPr>
              <w:jc w:val="center"/>
              <w:rPr>
                <w:rFonts w:ascii="Times New Roman" w:hAnsi="Times New Roman" w:eastAsia="仿宋_GB2312" w:cs="Times New Roman"/>
                <w:b/>
                <w:bCs/>
              </w:rPr>
            </w:pPr>
            <w:r>
              <w:rPr>
                <w:rFonts w:hint="eastAsia" w:ascii="Times New Roman" w:hAnsi="Times New Roman" w:eastAsia="仿宋_GB2312" w:cs="Times New Roman"/>
                <w:b/>
                <w:bCs/>
              </w:rPr>
              <w:t>100</w:t>
            </w:r>
          </w:p>
        </w:tc>
        <w:tc>
          <w:tcPr>
            <w:tcW w:w="1045" w:type="dxa"/>
            <w:tcBorders>
              <w:top w:val="nil"/>
              <w:left w:val="nil"/>
              <w:bottom w:val="single" w:color="auto" w:sz="4" w:space="0"/>
              <w:right w:val="single" w:color="auto" w:sz="4" w:space="0"/>
            </w:tcBorders>
            <w:shd w:val="clear" w:color="auto" w:fill="auto"/>
            <w:noWrap/>
            <w:vAlign w:val="center"/>
          </w:tcPr>
          <w:p w14:paraId="1264E38A">
            <w:pPr>
              <w:jc w:val="center"/>
              <w:rPr>
                <w:rFonts w:hint="eastAsia" w:ascii="Times New Roman" w:hAnsi="Times New Roman" w:eastAsia="仿宋_GB2312" w:cs="Times New Roman"/>
                <w:b/>
                <w:bCs/>
                <w:lang w:eastAsia="zh-CN"/>
              </w:rPr>
            </w:pPr>
            <w:r>
              <w:rPr>
                <w:rFonts w:hint="eastAsia" w:ascii="Times New Roman" w:hAnsi="Times New Roman" w:eastAsia="仿宋_GB2312" w:cs="Times New Roman"/>
                <w:b/>
                <w:bCs/>
              </w:rPr>
              <w:t>9</w:t>
            </w:r>
            <w:r>
              <w:rPr>
                <w:rFonts w:hint="eastAsia" w:ascii="Times New Roman" w:hAnsi="Times New Roman" w:eastAsia="仿宋_GB2312" w:cs="Times New Roman"/>
                <w:b/>
                <w:bCs/>
                <w:lang w:val="en-US" w:eastAsia="zh-CN"/>
              </w:rPr>
              <w:t>5</w:t>
            </w:r>
          </w:p>
        </w:tc>
        <w:tc>
          <w:tcPr>
            <w:tcW w:w="1125" w:type="dxa"/>
            <w:tcBorders>
              <w:top w:val="nil"/>
              <w:left w:val="nil"/>
              <w:bottom w:val="single" w:color="auto" w:sz="4" w:space="0"/>
              <w:right w:val="single" w:color="auto" w:sz="4" w:space="0"/>
            </w:tcBorders>
            <w:shd w:val="clear" w:color="auto" w:fill="auto"/>
            <w:vAlign w:val="center"/>
          </w:tcPr>
          <w:p w14:paraId="6AA0A85B">
            <w:pPr>
              <w:jc w:val="center"/>
              <w:rPr>
                <w:rFonts w:ascii="Times New Roman" w:hAnsi="Times New Roman" w:eastAsia="仿宋_GB2312" w:cs="Times New Roman"/>
                <w:b/>
                <w:bCs/>
              </w:rPr>
            </w:pPr>
            <w:r>
              <w:rPr>
                <w:rFonts w:hint="eastAsia" w:ascii="Times New Roman" w:hAnsi="Times New Roman" w:eastAsia="仿宋_GB2312" w:cs="Times New Roman"/>
                <w:b/>
                <w:bCs/>
              </w:rPr>
              <w:t>9</w:t>
            </w:r>
            <w:r>
              <w:rPr>
                <w:rFonts w:hint="eastAsia" w:ascii="Times New Roman" w:hAnsi="Times New Roman" w:eastAsia="仿宋_GB2312" w:cs="Times New Roman"/>
                <w:b/>
                <w:bCs/>
                <w:lang w:val="en-US" w:eastAsia="zh-CN"/>
              </w:rPr>
              <w:t>5</w:t>
            </w:r>
            <w:r>
              <w:rPr>
                <w:rFonts w:ascii="Times New Roman" w:hAnsi="Times New Roman" w:eastAsia="仿宋_GB2312" w:cs="Times New Roman"/>
                <w:b/>
                <w:bCs/>
              </w:rPr>
              <w:t>%</w:t>
            </w:r>
          </w:p>
        </w:tc>
      </w:tr>
      <w:tr w14:paraId="3D9C559A">
        <w:tblPrEx>
          <w:tblCellMar>
            <w:top w:w="0" w:type="dxa"/>
            <w:left w:w="108" w:type="dxa"/>
            <w:bottom w:w="0" w:type="dxa"/>
            <w:right w:w="108" w:type="dxa"/>
          </w:tblCellMar>
        </w:tblPrEx>
        <w:trPr>
          <w:trHeight w:val="442" w:hRule="atLeast"/>
        </w:trPr>
        <w:tc>
          <w:tcPr>
            <w:tcW w:w="8947"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71504AAD">
            <w:pPr>
              <w:rPr>
                <w:rFonts w:ascii="Times New Roman" w:hAnsi="Times New Roman" w:eastAsia="仿宋_GB2312" w:cs="Times New Roman"/>
              </w:rPr>
            </w:pPr>
            <w:r>
              <w:rPr>
                <w:rFonts w:hint="eastAsia" w:ascii="Times New Roman" w:hAnsi="Times New Roman" w:eastAsia="仿宋_GB2312" w:cs="Times New Roman"/>
              </w:rPr>
              <w:t>绩效评价结果量化为百分制综合评分，评分为90分（含）以上的为“优”，80分（含）至90分的为“良”，60分（含）至80分的为“中”，60分以下的为“差”</w:t>
            </w:r>
          </w:p>
        </w:tc>
      </w:tr>
    </w:tbl>
    <w:p w14:paraId="0D7DFA05">
      <w:pPr>
        <w:pStyle w:val="13"/>
      </w:pPr>
    </w:p>
    <w:p w14:paraId="3C78D392">
      <w:pPr>
        <w:spacing w:line="575" w:lineRule="exact"/>
        <w:ind w:firstLine="640" w:firstLineChars="200"/>
        <w:rPr>
          <w:rFonts w:ascii="黑体" w:hAnsi="黑体" w:eastAsia="黑体" w:cs="Times New Roman"/>
          <w:sz w:val="32"/>
          <w:szCs w:val="32"/>
        </w:rPr>
      </w:pPr>
      <w:r>
        <w:rPr>
          <w:rFonts w:hint="eastAsia" w:ascii="黑体" w:hAnsi="黑体" w:eastAsia="黑体" w:cs="黑体"/>
          <w:sz w:val="32"/>
          <w:szCs w:val="32"/>
        </w:rPr>
        <w:t>四、绩效评价指标分析</w:t>
      </w:r>
    </w:p>
    <w:p w14:paraId="14DDED73">
      <w:pPr>
        <w:spacing w:line="575" w:lineRule="exact"/>
        <w:ind w:firstLine="640" w:firstLineChars="200"/>
        <w:outlineLvl w:val="0"/>
        <w:rPr>
          <w:rFonts w:ascii="楷体_GB2312" w:eastAsia="楷体_GB2312" w:cs="楷体_GB2312"/>
          <w:sz w:val="32"/>
          <w:szCs w:val="32"/>
        </w:rPr>
      </w:pPr>
      <w:r>
        <w:rPr>
          <w:rFonts w:hint="eastAsia" w:ascii="楷体_GB2312" w:eastAsia="楷体_GB2312" w:cs="楷体_GB2312"/>
          <w:sz w:val="32"/>
          <w:szCs w:val="32"/>
        </w:rPr>
        <w:t>（一）项目决策情况</w:t>
      </w:r>
    </w:p>
    <w:p w14:paraId="73A39ACF">
      <w:pPr>
        <w:numPr>
          <w:ilvl w:val="255"/>
          <w:numId w:val="0"/>
        </w:numPr>
        <w:spacing w:line="579" w:lineRule="exact"/>
        <w:ind w:firstLine="640" w:firstLineChars="200"/>
        <w:rPr>
          <w:rFonts w:ascii="仿宋_GB2312" w:eastAsia="仿宋_GB2312" w:cs="仿宋_GB2312"/>
          <w:sz w:val="32"/>
          <w:szCs w:val="32"/>
        </w:rPr>
      </w:pPr>
      <w:r>
        <w:rPr>
          <w:rFonts w:hint="eastAsia" w:ascii="仿宋_GB2312" w:hAnsi="Times New Roman" w:eastAsia="仿宋_GB2312" w:cs="Times New Roman"/>
          <w:sz w:val="32"/>
          <w:szCs w:val="32"/>
          <w:lang w:eastAsia="zh-CN"/>
        </w:rPr>
        <w:t>项目</w:t>
      </w:r>
      <w:r>
        <w:rPr>
          <w:rFonts w:hint="eastAsia" w:ascii="仿宋_GB2312" w:eastAsia="仿宋_GB2312" w:cs="仿宋_GB2312"/>
          <w:sz w:val="32"/>
          <w:szCs w:val="32"/>
        </w:rPr>
        <w:t>决策指标20分，分为项目立项指标5分、项目储备指标5分、绩效目标指标5分、资金需求指标5分。</w:t>
      </w:r>
    </w:p>
    <w:p w14:paraId="146F6571">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1.项目立项：港嵘拔萃园配套幼儿园、山海四季城二期配套幼儿园及鹏瑞尚府配套幼儿园装修工程及设备购置项目，</w:t>
      </w:r>
      <w:r>
        <w:rPr>
          <w:rFonts w:hint="eastAsia" w:ascii="仿宋_GB2312" w:eastAsia="仿宋_GB2312" w:cs="仿宋_GB2312"/>
          <w:sz w:val="32"/>
          <w:szCs w:val="32"/>
          <w:lang w:val="en-US" w:eastAsia="zh-CN"/>
        </w:rPr>
        <w:t>已</w:t>
      </w:r>
      <w:r>
        <w:rPr>
          <w:rFonts w:hint="eastAsia" w:ascii="仿宋_GB2312" w:eastAsia="仿宋_GB2312" w:cs="仿宋_GB2312"/>
          <w:sz w:val="32"/>
          <w:szCs w:val="32"/>
        </w:rPr>
        <w:t>依规取得区发改局下达</w:t>
      </w:r>
      <w:r>
        <w:rPr>
          <w:rFonts w:hint="eastAsia" w:ascii="仿宋_GB2312" w:eastAsia="仿宋_GB2312" w:cs="仿宋_GB2312"/>
          <w:sz w:val="32"/>
          <w:szCs w:val="32"/>
          <w:lang w:val="en-US" w:eastAsia="zh-CN"/>
        </w:rPr>
        <w:t>的</w:t>
      </w:r>
      <w:r>
        <w:rPr>
          <w:rFonts w:hint="eastAsia" w:ascii="仿宋_GB2312" w:eastAsia="仿宋_GB2312" w:cs="仿宋_GB2312"/>
          <w:sz w:val="32"/>
          <w:szCs w:val="32"/>
        </w:rPr>
        <w:t>《关于2024年盐田区幼儿园建设项目总概算的批复》（深盐发改投批〔2024〕32号）立项批复文件，项目申请、设立过程规范</w:t>
      </w:r>
      <w:r>
        <w:rPr>
          <w:rFonts w:hint="eastAsia" w:ascii="仿宋_GB2312" w:eastAsia="仿宋_GB2312" w:cs="仿宋_GB2312"/>
          <w:sz w:val="32"/>
          <w:szCs w:val="32"/>
          <w:lang w:eastAsia="zh-CN"/>
        </w:rPr>
        <w:t>，</w:t>
      </w:r>
      <w:r>
        <w:rPr>
          <w:rFonts w:hint="eastAsia" w:ascii="仿宋_GB2312" w:eastAsia="仿宋_GB2312" w:cs="仿宋_GB2312"/>
          <w:sz w:val="32"/>
          <w:szCs w:val="32"/>
        </w:rPr>
        <w:t>该项指标分值5分，实际得分5分。</w:t>
      </w:r>
    </w:p>
    <w:p w14:paraId="2EC41CA9">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2.项目储备：项目投向领域为学前教育，项目主要内容为幼儿园装修工程及设备购置，符专项债券投向领域和使用要求，该项指标分值5分，实际得分5分。</w:t>
      </w:r>
    </w:p>
    <w:p w14:paraId="62959EBC">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3.绩效目标：项目的绩效目标设置基本能结合项目实际，其中设备购置班级数、</w:t>
      </w:r>
      <w:r>
        <w:rPr>
          <w:rFonts w:hint="eastAsia" w:ascii="仿宋_GB2312" w:eastAsia="仿宋_GB2312" w:cs="仿宋_GB2312"/>
          <w:sz w:val="32"/>
          <w:szCs w:val="32"/>
          <w:lang w:eastAsia="zh-CN"/>
        </w:rPr>
        <w:t>新增学位数</w:t>
      </w:r>
      <w:r>
        <w:rPr>
          <w:rFonts w:hint="eastAsia" w:ascii="仿宋_GB2312" w:eastAsia="仿宋_GB2312" w:cs="仿宋_GB2312"/>
          <w:sz w:val="32"/>
          <w:szCs w:val="32"/>
        </w:rPr>
        <w:t>、收支平衡、债券还本付息等定量指标绩效目标明确，与项目高度相关，可清晰衡量</w:t>
      </w:r>
      <w:r>
        <w:rPr>
          <w:rFonts w:hint="eastAsia" w:ascii="仿宋_GB2312" w:eastAsia="仿宋_GB2312" w:cs="仿宋_GB2312"/>
          <w:sz w:val="32"/>
          <w:szCs w:val="32"/>
          <w:lang w:eastAsia="zh-CN"/>
        </w:rPr>
        <w:t>，</w:t>
      </w:r>
      <w:r>
        <w:rPr>
          <w:rFonts w:hint="eastAsia" w:ascii="仿宋_GB2312" w:eastAsia="仿宋_GB2312" w:cs="仿宋_GB2312"/>
          <w:sz w:val="32"/>
          <w:szCs w:val="32"/>
        </w:rPr>
        <w:t>该项指标分值5分，实际得分</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分。</w:t>
      </w:r>
    </w:p>
    <w:p w14:paraId="012B0C4B">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4.资金需求：项目</w:t>
      </w:r>
      <w:r>
        <w:rPr>
          <w:rFonts w:hint="eastAsia" w:ascii="仿宋_GB2312" w:eastAsia="仿宋_GB2312" w:cs="仿宋_GB2312"/>
          <w:sz w:val="32"/>
          <w:szCs w:val="32"/>
          <w:lang w:val="en-US" w:eastAsia="zh-CN"/>
        </w:rPr>
        <w:t>2025年</w:t>
      </w:r>
      <w:r>
        <w:rPr>
          <w:rFonts w:hint="eastAsia" w:ascii="仿宋_GB2312" w:eastAsia="仿宋_GB2312" w:cs="仿宋_GB2312"/>
          <w:sz w:val="32"/>
          <w:szCs w:val="32"/>
        </w:rPr>
        <w:t>发行专项债券额度</w:t>
      </w:r>
      <w:r>
        <w:rPr>
          <w:rFonts w:hint="eastAsia" w:ascii="仿宋_GB2312" w:eastAsia="仿宋_GB2312" w:cs="仿宋_GB2312"/>
          <w:sz w:val="32"/>
          <w:szCs w:val="32"/>
          <w:lang w:val="en-US" w:eastAsia="zh-CN"/>
        </w:rPr>
        <w:t>19</w:t>
      </w:r>
      <w:r>
        <w:rPr>
          <w:rFonts w:hint="eastAsia" w:ascii="仿宋_GB2312" w:eastAsia="仿宋_GB2312" w:cs="仿宋_GB2312"/>
          <w:sz w:val="32"/>
          <w:szCs w:val="32"/>
        </w:rPr>
        <w:t>00万元，实际完成实物工作量</w:t>
      </w:r>
      <w:r>
        <w:rPr>
          <w:rFonts w:hint="eastAsia" w:ascii="仿宋_GB2312" w:eastAsia="仿宋_GB2312" w:cs="仿宋_GB2312"/>
          <w:sz w:val="32"/>
          <w:szCs w:val="32"/>
          <w:lang w:val="en-US" w:eastAsia="zh-CN"/>
        </w:rPr>
        <w:t>19</w:t>
      </w:r>
      <w:r>
        <w:rPr>
          <w:rFonts w:hint="eastAsia" w:ascii="仿宋_GB2312" w:eastAsia="仿宋_GB2312" w:cs="仿宋_GB2312"/>
          <w:sz w:val="32"/>
          <w:szCs w:val="32"/>
        </w:rPr>
        <w:t>00万元，申报额度与实际需求匹配，该项指标分值5分，实际得分5分。</w:t>
      </w:r>
    </w:p>
    <w:p w14:paraId="515412E6">
      <w:pPr>
        <w:numPr>
          <w:ilvl w:val="255"/>
          <w:numId w:val="0"/>
        </w:numPr>
        <w:spacing w:line="579" w:lineRule="exact"/>
        <w:ind w:firstLine="640" w:firstLineChars="200"/>
      </w:pPr>
      <w:r>
        <w:rPr>
          <w:rFonts w:hint="eastAsia" w:ascii="仿宋_GB2312" w:eastAsia="仿宋_GB2312" w:cs="仿宋_GB2312"/>
          <w:sz w:val="32"/>
          <w:szCs w:val="32"/>
        </w:rPr>
        <w:t>综上，</w:t>
      </w:r>
      <w:r>
        <w:rPr>
          <w:rFonts w:hint="eastAsia" w:ascii="仿宋_GB2312" w:hAnsi="Times New Roman" w:eastAsia="仿宋_GB2312" w:cs="Times New Roman"/>
          <w:sz w:val="32"/>
          <w:szCs w:val="32"/>
        </w:rPr>
        <w:t>项目</w:t>
      </w:r>
      <w:r>
        <w:rPr>
          <w:rFonts w:hint="eastAsia" w:ascii="仿宋_GB2312" w:eastAsia="仿宋_GB2312" w:cs="仿宋_GB2312"/>
          <w:sz w:val="32"/>
          <w:szCs w:val="32"/>
        </w:rPr>
        <w:t>决策指标20分，实际得分</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分。</w:t>
      </w:r>
    </w:p>
    <w:p w14:paraId="1CE1784A">
      <w:pPr>
        <w:numPr>
          <w:ilvl w:val="255"/>
          <w:numId w:val="0"/>
        </w:numPr>
        <w:spacing w:line="579" w:lineRule="exact"/>
        <w:ind w:firstLine="640" w:firstLineChars="200"/>
        <w:rPr>
          <w:rFonts w:ascii="楷体_GB2312" w:eastAsia="楷体_GB2312" w:cs="楷体_GB2312"/>
          <w:sz w:val="32"/>
          <w:szCs w:val="32"/>
        </w:rPr>
      </w:pPr>
      <w:r>
        <w:rPr>
          <w:rFonts w:hint="eastAsia" w:ascii="楷体_GB2312" w:eastAsia="楷体_GB2312" w:cs="楷体_GB2312"/>
          <w:sz w:val="32"/>
          <w:szCs w:val="32"/>
        </w:rPr>
        <w:t>（二）项目管理情况</w:t>
      </w:r>
    </w:p>
    <w:p w14:paraId="48274005">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项目管理指标30分，分为资金管理指标10分、资产管理指标5分、偿债风险防控指标10分、事务管理指标5分。</w:t>
      </w:r>
    </w:p>
    <w:p w14:paraId="0B9785A3">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1.资金管理：该项指标包括资金使用合规性（分值5分）及资金使用进度（分值5分）两部分，其中：</w:t>
      </w:r>
    </w:p>
    <w:p w14:paraId="6BDF10E1">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（1）资金使用合规性：项目债券资金专项用于幼儿园设备购置及装修工程等款项支付，专款专用，未调整资金用途，故资金使用合规性指标得分5分；</w:t>
      </w:r>
    </w:p>
    <w:p w14:paraId="560FF996">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（2）资金使用进度：项目当年下达债券额度</w:t>
      </w:r>
      <w:r>
        <w:rPr>
          <w:rFonts w:hint="eastAsia" w:ascii="仿宋_GB2312" w:eastAsia="仿宋_GB2312" w:cs="仿宋_GB2312"/>
          <w:sz w:val="32"/>
          <w:szCs w:val="32"/>
          <w:lang w:val="en-US" w:eastAsia="zh-CN"/>
        </w:rPr>
        <w:t>1</w:t>
      </w:r>
      <w:r>
        <w:rPr>
          <w:rFonts w:hint="default" w:ascii="仿宋_GB2312" w:eastAsia="仿宋_GB2312" w:cs="仿宋_GB2312"/>
          <w:sz w:val="32"/>
          <w:szCs w:val="32"/>
          <w:lang w:val="en-US" w:eastAsia="zh-CN"/>
        </w:rPr>
        <w:t>,</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00万元，实际支出</w:t>
      </w:r>
      <w:r>
        <w:rPr>
          <w:rFonts w:hint="eastAsia" w:ascii="仿宋_GB2312" w:eastAsia="仿宋_GB2312" w:cs="仿宋_GB2312"/>
          <w:sz w:val="32"/>
          <w:szCs w:val="32"/>
          <w:lang w:val="en-US" w:eastAsia="zh-CN"/>
        </w:rPr>
        <w:t>1</w:t>
      </w:r>
      <w:r>
        <w:rPr>
          <w:rFonts w:hint="default" w:ascii="仿宋_GB2312" w:eastAsia="仿宋_GB2312" w:cs="仿宋_GB2312"/>
          <w:sz w:val="32"/>
          <w:szCs w:val="32"/>
          <w:lang w:val="en-US" w:eastAsia="zh-CN"/>
        </w:rPr>
        <w:t>,</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00万元，支出进度100%，故资金使用进度指标得分5分。</w:t>
      </w:r>
    </w:p>
    <w:p w14:paraId="35DE4460">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综上，资金管理指标分值10分，实际得分10分。</w:t>
      </w:r>
    </w:p>
    <w:p w14:paraId="047F09D8">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2.资产管理：港嵘拔萃园配套幼儿园、山海四季城二期配套幼儿园及鹏瑞尚府配套幼儿园装修工程及设备购置项目</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2025</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已</w:t>
      </w:r>
      <w:r>
        <w:rPr>
          <w:rFonts w:hint="eastAsia" w:ascii="仿宋_GB2312" w:eastAsia="仿宋_GB2312" w:cs="仿宋_GB2312"/>
          <w:sz w:val="32"/>
          <w:szCs w:val="32"/>
        </w:rPr>
        <w:t>完成竣工验收</w:t>
      </w:r>
      <w:r>
        <w:rPr>
          <w:rFonts w:hint="eastAsia" w:ascii="仿宋_GB2312" w:eastAsia="仿宋_GB2312" w:cs="仿宋_GB2312"/>
          <w:sz w:val="32"/>
          <w:szCs w:val="32"/>
          <w:lang w:eastAsia="zh-CN"/>
        </w:rPr>
        <w:t>。截至目前，</w:t>
      </w:r>
      <w:r>
        <w:rPr>
          <w:rFonts w:hint="eastAsia" w:ascii="仿宋_GB2312" w:eastAsia="仿宋_GB2312" w:cs="仿宋_GB2312"/>
          <w:sz w:val="32"/>
          <w:szCs w:val="32"/>
          <w:lang w:val="en-US" w:eastAsia="zh-CN"/>
        </w:rPr>
        <w:t>资产登记入账工作仍未完成</w:t>
      </w:r>
      <w:r>
        <w:rPr>
          <w:rFonts w:hint="eastAsia" w:ascii="仿宋_GB2312" w:eastAsia="仿宋_GB2312" w:cs="仿宋_GB2312"/>
          <w:sz w:val="32"/>
          <w:szCs w:val="32"/>
        </w:rPr>
        <w:t>，该项指标分值5分，实际得分0分。</w:t>
      </w:r>
    </w:p>
    <w:p w14:paraId="59D51611">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3.偿债风险指标：该项指标包括还本付息指标（分值5分）及融资与收益平衡指标（分值5分）两部分，其中</w:t>
      </w:r>
    </w:p>
    <w:p w14:paraId="2E78ED33">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（1）还本付息指标：项目对当年发行的</w:t>
      </w:r>
      <w:r>
        <w:rPr>
          <w:rFonts w:hint="eastAsia" w:ascii="仿宋_GB2312" w:eastAsia="仿宋_GB2312" w:cs="仿宋_GB2312"/>
          <w:sz w:val="32"/>
          <w:szCs w:val="32"/>
          <w:lang w:val="en-US" w:eastAsia="zh-CN"/>
        </w:rPr>
        <w:t>1</w:t>
      </w:r>
      <w:r>
        <w:rPr>
          <w:rFonts w:hint="default" w:ascii="仿宋_GB2312" w:eastAsia="仿宋_GB2312" w:cs="仿宋_GB2312"/>
          <w:sz w:val="32"/>
          <w:szCs w:val="32"/>
          <w:lang w:val="en-US" w:eastAsia="zh-CN"/>
        </w:rPr>
        <w:t>,</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00万元专项债券制定了实际可行的专项债券本息偿还计划，还款来源为幼儿园保教费收入，还本付息执行率=当年实际还本付息金额/当年应还本付息金额（%）（516.803839/516.803839=100%），202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年根据区财政核定利息数足额上缴，故还本付息指标得分5分；</w:t>
      </w:r>
    </w:p>
    <w:p w14:paraId="6A3C01FC">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（2）融资与收益平衡方面：202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年，项目年末息前税后净现金流/当年还本付息金额（1</w:t>
      </w:r>
      <w:r>
        <w:rPr>
          <w:rFonts w:hint="eastAsia" w:ascii="仿宋_GB2312" w:eastAsia="仿宋_GB2312" w:cs="仿宋_GB2312"/>
          <w:sz w:val="32"/>
          <w:szCs w:val="32"/>
          <w:lang w:val="en-US" w:eastAsia="zh-CN"/>
        </w:rPr>
        <w:t>296</w:t>
      </w:r>
      <w:r>
        <w:rPr>
          <w:rFonts w:hint="eastAsia" w:ascii="仿宋_GB2312" w:eastAsia="仿宋_GB2312" w:cs="仿宋_GB2312"/>
          <w:sz w:val="32"/>
          <w:szCs w:val="32"/>
        </w:rPr>
        <w:t>.2358/516.803839=</w:t>
      </w:r>
      <w:r>
        <w:rPr>
          <w:rFonts w:hint="eastAsia" w:ascii="仿宋_GB2312" w:eastAsia="仿宋_GB2312" w:cs="仿宋_GB2312"/>
          <w:sz w:val="32"/>
          <w:szCs w:val="32"/>
          <w:lang w:val="en-US" w:eastAsia="zh-CN"/>
        </w:rPr>
        <w:t>2.5</w:t>
      </w:r>
      <w:r>
        <w:rPr>
          <w:rFonts w:hint="eastAsia" w:ascii="仿宋_GB2312" w:eastAsia="仿宋_GB2312" w:cs="仿宋_GB2312"/>
          <w:sz w:val="32"/>
          <w:szCs w:val="32"/>
        </w:rPr>
        <w:t>），项目年末息前税后净现金流可以覆盖当年还本付息资金，故融资与收益平衡指标得分5分。</w:t>
      </w:r>
    </w:p>
    <w:p w14:paraId="789A2ED7">
      <w:pPr>
        <w:numPr>
          <w:ilvl w:val="255"/>
          <w:numId w:val="0"/>
        </w:num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综上，偿债风险指标分值10分，实际得分10分。</w:t>
      </w:r>
    </w:p>
    <w:p w14:paraId="719265C1">
      <w:pPr>
        <w:numPr>
          <w:ilvl w:val="255"/>
          <w:numId w:val="0"/>
        </w:numPr>
        <w:spacing w:line="579" w:lineRule="exact"/>
        <w:ind w:firstLine="640" w:firstLineChars="200"/>
      </w:pPr>
      <w:r>
        <w:rPr>
          <w:rFonts w:hint="eastAsia" w:ascii="仿宋_GB2312" w:eastAsia="仿宋_GB2312" w:cs="仿宋_GB2312"/>
          <w:sz w:val="32"/>
          <w:szCs w:val="32"/>
        </w:rPr>
        <w:t>4.事务管理：在信息化管理方面，项目形成实物工作量后，均能及时、准确在债务管理系统中录入有关数据及上传支付凭证，使项目整体支出进度准确呈现，事务管理指标分值5分，实际得分5分。</w:t>
      </w:r>
    </w:p>
    <w:p w14:paraId="04CCF068">
      <w:pPr>
        <w:spacing w:line="579" w:lineRule="exact"/>
        <w:ind w:firstLine="640" w:firstLineChars="200"/>
        <w:outlineLvl w:val="0"/>
        <w:rPr>
          <w:rFonts w:ascii="楷体_GB2312" w:eastAsia="楷体_GB2312" w:cs="Times New Roman"/>
          <w:sz w:val="32"/>
          <w:szCs w:val="32"/>
        </w:rPr>
      </w:pPr>
      <w:r>
        <w:rPr>
          <w:rFonts w:hint="eastAsia" w:ascii="仿宋_GB2312" w:eastAsia="仿宋_GB2312" w:cs="仿宋_GB2312"/>
          <w:sz w:val="32"/>
          <w:szCs w:val="32"/>
        </w:rPr>
        <w:t>综上，项目管理指标30分，实际得分25分。</w:t>
      </w:r>
    </w:p>
    <w:p w14:paraId="1780A0E9">
      <w:pPr>
        <w:spacing w:line="579" w:lineRule="exact"/>
        <w:ind w:firstLine="640" w:firstLineChars="200"/>
        <w:outlineLvl w:val="0"/>
        <w:rPr>
          <w:rFonts w:ascii="楷体_GB2312" w:eastAsia="楷体_GB2312" w:cs="楷体_GB2312"/>
          <w:sz w:val="32"/>
          <w:szCs w:val="32"/>
        </w:rPr>
      </w:pPr>
      <w:r>
        <w:rPr>
          <w:rFonts w:hint="eastAsia" w:ascii="楷体_GB2312" w:eastAsia="楷体_GB2312" w:cs="楷体_GB2312"/>
          <w:sz w:val="32"/>
          <w:szCs w:val="32"/>
        </w:rPr>
        <w:t>（三）项目产出情况</w:t>
      </w:r>
    </w:p>
    <w:p w14:paraId="3A400EDC">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项目产出指标</w:t>
      </w:r>
      <w:r>
        <w:rPr>
          <w:rFonts w:hint="eastAsia" w:ascii="仿宋_GB2312" w:eastAsia="仿宋_GB2312" w:cs="仿宋_GB2312"/>
          <w:sz w:val="32"/>
          <w:szCs w:val="32"/>
          <w:lang w:val="en-US" w:eastAsia="zh-CN"/>
        </w:rPr>
        <w:t>40</w:t>
      </w:r>
      <w:r>
        <w:rPr>
          <w:rFonts w:hint="eastAsia" w:ascii="仿宋_GB2312" w:eastAsia="仿宋_GB2312" w:cs="仿宋_GB2312"/>
          <w:sz w:val="32"/>
          <w:szCs w:val="32"/>
        </w:rPr>
        <w:t>分，分为数量指标10分、质量指标10分、时效指标10分、成本指标</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分。</w:t>
      </w:r>
    </w:p>
    <w:p w14:paraId="1BE15348">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1.数量指标：项目</w:t>
      </w:r>
      <w:r>
        <w:rPr>
          <w:rFonts w:hint="eastAsia" w:ascii="仿宋_GB2312" w:eastAsia="仿宋_GB2312" w:cs="仿宋_GB2312"/>
          <w:sz w:val="32"/>
          <w:szCs w:val="32"/>
          <w:lang w:eastAsia="zh-CN"/>
        </w:rPr>
        <w:t>包含的</w:t>
      </w:r>
      <w:r>
        <w:rPr>
          <w:rFonts w:hint="eastAsia" w:ascii="仿宋_GB2312" w:eastAsia="仿宋_GB2312" w:cs="仿宋_GB2312"/>
          <w:sz w:val="32"/>
          <w:szCs w:val="32"/>
        </w:rPr>
        <w:t>港嵘拔萃园配套幼儿园、山海四季城二期配套幼儿园及鹏瑞尚府配套幼儿园，招生规模为</w:t>
      </w:r>
      <w:r>
        <w:rPr>
          <w:rFonts w:hint="eastAsia" w:ascii="仿宋_GB2312" w:eastAsia="仿宋_GB2312" w:cs="仿宋_GB2312"/>
          <w:sz w:val="32"/>
          <w:szCs w:val="32"/>
          <w:lang w:val="en-US" w:eastAsia="zh-CN"/>
        </w:rPr>
        <w:t>34</w:t>
      </w:r>
      <w:r>
        <w:rPr>
          <w:rFonts w:hint="eastAsia" w:ascii="仿宋_GB2312" w:eastAsia="仿宋_GB2312" w:cs="仿宋_GB2312"/>
          <w:sz w:val="32"/>
          <w:szCs w:val="32"/>
        </w:rPr>
        <w:t>班，设备购置班级数为</w:t>
      </w:r>
      <w:r>
        <w:rPr>
          <w:rFonts w:hint="eastAsia" w:ascii="仿宋_GB2312" w:eastAsia="仿宋_GB2312" w:cs="仿宋_GB2312"/>
          <w:sz w:val="32"/>
          <w:szCs w:val="32"/>
          <w:lang w:val="en-US" w:eastAsia="zh-CN"/>
        </w:rPr>
        <w:t>34</w:t>
      </w:r>
      <w:r>
        <w:rPr>
          <w:rFonts w:hint="eastAsia" w:ascii="仿宋_GB2312" w:eastAsia="仿宋_GB2312" w:cs="仿宋_GB2312"/>
          <w:sz w:val="32"/>
          <w:szCs w:val="32"/>
        </w:rPr>
        <w:t>班，完成率100%，该项指标得分10分。</w:t>
      </w:r>
    </w:p>
    <w:p w14:paraId="0DD98B84">
      <w:pPr>
        <w:pStyle w:val="3"/>
        <w:spacing w:line="579" w:lineRule="exact"/>
        <w:ind w:firstLine="640" w:firstLineChars="200"/>
        <w:rPr>
          <w:rFonts w:ascii="仿宋_GB2312" w:hAnsi="Calibri" w:eastAsia="仿宋_GB2312" w:cs="仿宋_GB2312"/>
          <w:sz w:val="32"/>
          <w:szCs w:val="32"/>
        </w:rPr>
      </w:pPr>
      <w:r>
        <w:rPr>
          <w:rFonts w:hint="eastAsia" w:ascii="仿宋_GB2312" w:hAnsi="Calibri" w:eastAsia="仿宋_GB2312" w:cs="仿宋_GB2312"/>
          <w:sz w:val="32"/>
          <w:szCs w:val="32"/>
        </w:rPr>
        <w:t>2.质量指标：项</w:t>
      </w:r>
      <w:r>
        <w:rPr>
          <w:rFonts w:hint="eastAsia" w:ascii="仿宋_GB2312" w:eastAsia="仿宋_GB2312" w:cs="仿宋_GB2312"/>
          <w:sz w:val="32"/>
          <w:szCs w:val="32"/>
        </w:rPr>
        <w:t>目</w:t>
      </w:r>
      <w:r>
        <w:rPr>
          <w:rFonts w:hint="eastAsia" w:ascii="仿宋_GB2312" w:eastAsia="仿宋_GB2312" w:cs="仿宋_GB2312"/>
          <w:sz w:val="32"/>
          <w:szCs w:val="32"/>
          <w:lang w:eastAsia="zh-CN"/>
        </w:rPr>
        <w:t>包含的</w:t>
      </w:r>
      <w:r>
        <w:rPr>
          <w:rFonts w:hint="eastAsia" w:ascii="仿宋_GB2312" w:eastAsia="仿宋_GB2312" w:cs="仿宋_GB2312"/>
          <w:sz w:val="32"/>
          <w:szCs w:val="32"/>
        </w:rPr>
        <w:t>港嵘拔萃园配套幼儿园、山海四季城二期配套幼儿园及鹏瑞尚府配套幼儿园，</w:t>
      </w:r>
      <w:r>
        <w:rPr>
          <w:rFonts w:hint="eastAsia" w:ascii="仿宋_GB2312" w:hAnsi="Calibri" w:eastAsia="仿宋_GB2312" w:cs="仿宋_GB2312"/>
          <w:sz w:val="32"/>
          <w:szCs w:val="32"/>
          <w:lang w:eastAsia="zh-CN"/>
        </w:rPr>
        <w:t>装修工程及</w:t>
      </w:r>
      <w:r>
        <w:rPr>
          <w:rFonts w:hint="eastAsia" w:ascii="仿宋_GB2312" w:hAnsi="Calibri" w:eastAsia="仿宋_GB2312" w:cs="仿宋_GB2312"/>
          <w:sz w:val="32"/>
          <w:szCs w:val="32"/>
        </w:rPr>
        <w:t>设备购置项目</w:t>
      </w:r>
      <w:r>
        <w:rPr>
          <w:rFonts w:hint="eastAsia" w:ascii="仿宋_GB2312" w:hAnsi="Calibri" w:eastAsia="仿宋_GB2312" w:cs="仿宋_GB2312"/>
          <w:sz w:val="32"/>
          <w:szCs w:val="32"/>
          <w:lang w:eastAsia="zh-CN"/>
        </w:rPr>
        <w:t>完工</w:t>
      </w:r>
      <w:r>
        <w:rPr>
          <w:rFonts w:hint="eastAsia" w:ascii="仿宋_GB2312" w:hAnsi="Calibri" w:eastAsia="仿宋_GB2312" w:cs="仿宋_GB2312"/>
          <w:sz w:val="32"/>
          <w:szCs w:val="32"/>
        </w:rPr>
        <w:t>验收合格率100%，该项指标得分10分。</w:t>
      </w:r>
    </w:p>
    <w:p w14:paraId="08FD9C23">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3.时效指标：</w:t>
      </w:r>
      <w:r>
        <w:rPr>
          <w:rFonts w:hint="eastAsia" w:ascii="仿宋_GB2312" w:hAnsi="Calibri" w:eastAsia="仿宋_GB2312" w:cs="仿宋_GB2312"/>
          <w:sz w:val="32"/>
          <w:szCs w:val="32"/>
        </w:rPr>
        <w:t>项</w:t>
      </w:r>
      <w:r>
        <w:rPr>
          <w:rFonts w:hint="eastAsia" w:ascii="仿宋_GB2312" w:eastAsia="仿宋_GB2312" w:cs="仿宋_GB2312"/>
          <w:sz w:val="32"/>
          <w:szCs w:val="32"/>
        </w:rPr>
        <w:t>目</w:t>
      </w:r>
      <w:r>
        <w:rPr>
          <w:rFonts w:hint="eastAsia" w:ascii="仿宋_GB2312" w:eastAsia="仿宋_GB2312" w:cs="仿宋_GB2312"/>
          <w:sz w:val="32"/>
          <w:szCs w:val="32"/>
          <w:lang w:eastAsia="zh-CN"/>
        </w:rPr>
        <w:t>包含的</w:t>
      </w:r>
      <w:r>
        <w:rPr>
          <w:rFonts w:hint="eastAsia" w:ascii="仿宋_GB2312" w:eastAsia="仿宋_GB2312" w:cs="仿宋_GB2312"/>
          <w:sz w:val="32"/>
          <w:szCs w:val="32"/>
        </w:rPr>
        <w:t>港嵘拔萃园配套幼儿园、山海四季城二期配套幼儿园及鹏瑞尚府配套幼儿园，设备购置</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计划于2025年12月20日前</w:t>
      </w:r>
      <w:r>
        <w:rPr>
          <w:rFonts w:hint="eastAsia" w:ascii="仿宋_GB2312" w:eastAsia="仿宋_GB2312" w:cs="仿宋_GB2312"/>
          <w:sz w:val="32"/>
          <w:szCs w:val="32"/>
          <w:lang w:eastAsia="zh-CN"/>
        </w:rPr>
        <w:t>完工</w:t>
      </w:r>
      <w:r>
        <w:rPr>
          <w:rFonts w:hint="eastAsia" w:ascii="仿宋_GB2312" w:eastAsia="仿宋_GB2312" w:cs="仿宋_GB2312"/>
          <w:sz w:val="32"/>
          <w:szCs w:val="32"/>
        </w:rPr>
        <w:t>，实际</w:t>
      </w:r>
      <w:r>
        <w:rPr>
          <w:rFonts w:hint="eastAsia" w:ascii="仿宋_GB2312" w:eastAsia="仿宋_GB2312" w:cs="仿宋_GB2312"/>
          <w:sz w:val="32"/>
          <w:szCs w:val="32"/>
          <w:lang w:eastAsia="zh-CN"/>
        </w:rPr>
        <w:t>于</w:t>
      </w:r>
      <w:r>
        <w:rPr>
          <w:rFonts w:hint="eastAsia" w:ascii="仿宋_GB2312" w:eastAsia="仿宋_GB2312" w:cs="仿宋_GB2312"/>
          <w:sz w:val="32"/>
          <w:szCs w:val="32"/>
          <w:lang w:val="en-US" w:eastAsia="zh-CN"/>
        </w:rPr>
        <w:t>2025年9月26日完工验收</w:t>
      </w:r>
      <w:r>
        <w:rPr>
          <w:rFonts w:hint="eastAsia" w:ascii="仿宋_GB2312" w:eastAsia="仿宋_GB2312" w:cs="仿宋_GB2312"/>
          <w:sz w:val="32"/>
          <w:szCs w:val="32"/>
        </w:rPr>
        <w:t>，该项指标得分10分。</w:t>
      </w:r>
    </w:p>
    <w:p w14:paraId="7913278B">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4.成本指标：项目各项工程及设备项目依据区发改局下达的概算批复文件开展招标工作，项目建设成本属于合理范围，该项指标得分</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分。</w:t>
      </w:r>
    </w:p>
    <w:p w14:paraId="70870806">
      <w:pPr>
        <w:spacing w:line="579" w:lineRule="exact"/>
        <w:ind w:firstLine="640" w:firstLineChars="200"/>
      </w:pPr>
      <w:r>
        <w:rPr>
          <w:rFonts w:hint="eastAsia" w:ascii="仿宋_GB2312" w:eastAsia="仿宋_GB2312" w:cs="仿宋_GB2312"/>
          <w:sz w:val="32"/>
          <w:szCs w:val="32"/>
        </w:rPr>
        <w:t>综上，项目产出指标</w:t>
      </w:r>
      <w:r>
        <w:rPr>
          <w:rFonts w:hint="eastAsia" w:ascii="仿宋_GB2312" w:eastAsia="仿宋_GB2312" w:cs="仿宋_GB2312"/>
          <w:sz w:val="32"/>
          <w:szCs w:val="32"/>
          <w:lang w:val="en-US" w:eastAsia="zh-CN"/>
        </w:rPr>
        <w:t>40</w:t>
      </w:r>
      <w:r>
        <w:rPr>
          <w:rFonts w:hint="eastAsia" w:ascii="仿宋_GB2312" w:eastAsia="仿宋_GB2312" w:cs="仿宋_GB2312"/>
          <w:sz w:val="32"/>
          <w:szCs w:val="32"/>
        </w:rPr>
        <w:t>分，实际得分</w:t>
      </w:r>
      <w:r>
        <w:rPr>
          <w:rFonts w:hint="eastAsia" w:ascii="仿宋_GB2312" w:eastAsia="仿宋_GB2312" w:cs="仿宋_GB2312"/>
          <w:sz w:val="32"/>
          <w:szCs w:val="32"/>
          <w:lang w:val="en-US" w:eastAsia="zh-CN"/>
        </w:rPr>
        <w:t>40</w:t>
      </w:r>
      <w:r>
        <w:rPr>
          <w:rFonts w:hint="eastAsia" w:ascii="仿宋_GB2312" w:eastAsia="仿宋_GB2312" w:cs="仿宋_GB2312"/>
          <w:sz w:val="32"/>
          <w:szCs w:val="32"/>
        </w:rPr>
        <w:t>分。</w:t>
      </w:r>
    </w:p>
    <w:p w14:paraId="38FC5B3D">
      <w:pPr>
        <w:spacing w:line="575" w:lineRule="exact"/>
        <w:ind w:firstLine="640" w:firstLineChars="200"/>
        <w:outlineLvl w:val="0"/>
        <w:rPr>
          <w:rFonts w:ascii="楷体_GB2312" w:eastAsia="楷体_GB2312" w:cs="楷体_GB2312"/>
          <w:sz w:val="32"/>
          <w:szCs w:val="32"/>
        </w:rPr>
      </w:pPr>
      <w:r>
        <w:rPr>
          <w:rFonts w:hint="eastAsia" w:ascii="楷体_GB2312" w:eastAsia="楷体_GB2312" w:cs="楷体_GB2312"/>
          <w:sz w:val="32"/>
          <w:szCs w:val="32"/>
        </w:rPr>
        <w:t>（四）项目效益情况</w:t>
      </w:r>
    </w:p>
    <w:p w14:paraId="576E41A4">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项目效益指标1</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分，分为社会效益指标5分、服务对象满意度指标5分。</w:t>
      </w:r>
    </w:p>
    <w:p w14:paraId="358CE1E4">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1.社会效益指标：项目涵盖区内</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所公办园的建设，开办后可以</w:t>
      </w:r>
      <w:r>
        <w:rPr>
          <w:rFonts w:hint="eastAsia" w:ascii="仿宋_GB2312" w:eastAsia="仿宋_GB2312" w:cs="仿宋_GB2312"/>
          <w:sz w:val="32"/>
          <w:szCs w:val="32"/>
          <w:lang w:eastAsia="zh-CN"/>
        </w:rPr>
        <w:t>新增学前教育学位</w:t>
      </w:r>
      <w:r>
        <w:rPr>
          <w:rFonts w:hint="eastAsia" w:ascii="仿宋_GB2312" w:eastAsia="仿宋_GB2312" w:cs="仿宋_GB2312"/>
          <w:sz w:val="32"/>
          <w:szCs w:val="32"/>
          <w:lang w:val="en-US" w:eastAsia="zh-CN"/>
        </w:rPr>
        <w:t>1020个，</w:t>
      </w:r>
      <w:r>
        <w:rPr>
          <w:rFonts w:hint="eastAsia" w:ascii="仿宋_GB2312" w:eastAsia="仿宋_GB2312" w:cs="仿宋_GB2312"/>
          <w:sz w:val="32"/>
          <w:szCs w:val="32"/>
        </w:rPr>
        <w:t>有效缓解盐田区学前学位供给压力，解决了居民子女就近入学需求，为盐田区的宜居价值带来积极的社会影响，该项指标得分5分。</w:t>
      </w:r>
    </w:p>
    <w:p w14:paraId="61DF969C">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2.服务对象满意度指标：项目</w:t>
      </w:r>
      <w:r>
        <w:rPr>
          <w:rFonts w:hint="eastAsia" w:ascii="仿宋_GB2312" w:eastAsia="仿宋_GB2312" w:cs="仿宋_GB2312"/>
          <w:sz w:val="32"/>
          <w:szCs w:val="32"/>
          <w:lang w:eastAsia="zh-CN"/>
        </w:rPr>
        <w:t>设定目标满意度为≥</w:t>
      </w:r>
      <w:r>
        <w:rPr>
          <w:rFonts w:hint="eastAsia" w:ascii="仿宋_GB2312" w:eastAsia="仿宋_GB2312" w:cs="仿宋_GB2312"/>
          <w:sz w:val="32"/>
          <w:szCs w:val="32"/>
          <w:lang w:val="en-US" w:eastAsia="zh-CN"/>
        </w:rPr>
        <w:t>95%，</w:t>
      </w:r>
      <w:r>
        <w:rPr>
          <w:rFonts w:hint="eastAsia" w:ascii="仿宋_GB2312" w:eastAsia="仿宋_GB2312" w:cs="仿宋_GB2312"/>
          <w:sz w:val="32"/>
          <w:szCs w:val="32"/>
          <w:lang w:eastAsia="zh-CN"/>
        </w:rPr>
        <w:t>采用问卷的形式，采集幼儿园工作人员及服务对象的满意度</w:t>
      </w:r>
      <w:r>
        <w:rPr>
          <w:rFonts w:hint="eastAsia" w:ascii="仿宋_GB2312" w:eastAsia="仿宋_GB2312" w:cs="仿宋_GB2312"/>
          <w:sz w:val="32"/>
          <w:szCs w:val="32"/>
        </w:rPr>
        <w:t>，</w:t>
      </w:r>
      <w:r>
        <w:rPr>
          <w:rFonts w:hint="eastAsia" w:ascii="仿宋_GB2312" w:eastAsia="仿宋_GB2312" w:cs="仿宋_GB2312"/>
          <w:sz w:val="32"/>
          <w:szCs w:val="32"/>
          <w:lang w:eastAsia="zh-CN"/>
        </w:rPr>
        <w:t>发出问卷</w:t>
      </w:r>
      <w:r>
        <w:rPr>
          <w:rFonts w:hint="eastAsia" w:ascii="仿宋_GB2312" w:eastAsia="仿宋_GB2312" w:cs="仿宋_GB2312"/>
          <w:sz w:val="32"/>
          <w:szCs w:val="32"/>
          <w:lang w:val="en-US" w:eastAsia="zh-CN"/>
        </w:rPr>
        <w:t>456份，收回有效问卷448份，满意度96.1%，</w:t>
      </w:r>
      <w:r>
        <w:rPr>
          <w:rFonts w:hint="eastAsia" w:ascii="仿宋_GB2312" w:eastAsia="仿宋_GB2312" w:cs="仿宋_GB2312"/>
          <w:sz w:val="32"/>
          <w:szCs w:val="32"/>
        </w:rPr>
        <w:t>该项目指标5分，得分</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分。</w:t>
      </w:r>
    </w:p>
    <w:p w14:paraId="1DCE1CB3">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综上，项目效益指标1</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分，实际得分1</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分。</w:t>
      </w:r>
    </w:p>
    <w:p w14:paraId="6BABBE78">
      <w:pPr>
        <w:spacing w:line="579" w:lineRule="exact"/>
        <w:ind w:firstLine="640" w:firstLineChars="200"/>
      </w:pPr>
      <w:r>
        <w:rPr>
          <w:rFonts w:hint="eastAsia" w:ascii="仿宋_GB2312" w:eastAsia="仿宋_GB2312" w:cs="仿宋_GB2312"/>
          <w:sz w:val="32"/>
          <w:szCs w:val="32"/>
        </w:rPr>
        <w:t>综合上述四类项目绩效指标得分情况，项目得分9</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，自评等级为“优”。</w:t>
      </w:r>
    </w:p>
    <w:p w14:paraId="74EA153F">
      <w:pPr>
        <w:spacing w:line="575" w:lineRule="exact"/>
        <w:ind w:firstLine="640" w:firstLineChars="200"/>
        <w:rPr>
          <w:rFonts w:ascii="黑体" w:hAnsi="黑体" w:eastAsia="黑体" w:cs="Times New Roman"/>
          <w:sz w:val="32"/>
          <w:szCs w:val="32"/>
        </w:rPr>
      </w:pPr>
      <w:r>
        <w:rPr>
          <w:rFonts w:hint="eastAsia" w:ascii="黑体" w:hAnsi="黑体" w:eastAsia="黑体" w:cs="黑体"/>
          <w:sz w:val="32"/>
          <w:szCs w:val="32"/>
        </w:rPr>
        <w:t>五、主要经验做法</w:t>
      </w:r>
    </w:p>
    <w:p w14:paraId="292BE020">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1.通过建立内部管理制度，强化对内部权力的制约，防止内部权力滥用，确保专项债业务合理合规的开展，不断提高单位内部管理水平。</w:t>
      </w:r>
    </w:p>
    <w:p w14:paraId="7FC363A4">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2.加强数据收集、保存及分析。在日常工作中加强了对绩效评价工作相关数据的收集、汇总及保存，保证了数据的及时性、准确性，从而提高绩效评价工作效率。</w:t>
      </w:r>
    </w:p>
    <w:p w14:paraId="1469A4B3">
      <w:pPr>
        <w:spacing w:line="579" w:lineRule="exact"/>
        <w:ind w:firstLine="640" w:firstLineChars="200"/>
        <w:outlineLvl w:val="0"/>
        <w:rPr>
          <w:rFonts w:ascii="仿宋_GB2312" w:eastAsia="仿宋_GB2312" w:cs="仿宋_GB2312"/>
          <w:sz w:val="32"/>
          <w:szCs w:val="32"/>
        </w:rPr>
      </w:pPr>
      <w:r>
        <w:rPr>
          <w:rFonts w:hint="eastAsia" w:ascii="仿宋_GB2312" w:eastAsia="仿宋_GB2312" w:cs="仿宋_GB2312"/>
          <w:sz w:val="32"/>
          <w:szCs w:val="32"/>
        </w:rPr>
        <w:t>3.加强项目管理，对项目执行情况进行监督检查，对于执行进度较慢的项目重点跟踪处理，提高项目的执行率。</w:t>
      </w:r>
    </w:p>
    <w:p w14:paraId="69F8893A">
      <w:pPr>
        <w:spacing w:line="579" w:lineRule="exact"/>
        <w:ind w:firstLine="640" w:firstLineChars="200"/>
        <w:outlineLvl w:val="0"/>
        <w:rPr>
          <w:rFonts w:ascii="仿宋_GB2312" w:eastAsia="仿宋_GB2312" w:cs="仿宋_GB2312"/>
          <w:sz w:val="32"/>
          <w:szCs w:val="32"/>
        </w:rPr>
      </w:pPr>
      <w:r>
        <w:rPr>
          <w:rFonts w:hint="eastAsia" w:ascii="仿宋_GB2312" w:eastAsia="仿宋_GB2312" w:cs="仿宋_GB2312"/>
          <w:sz w:val="32"/>
          <w:szCs w:val="32"/>
        </w:rPr>
        <w:t>4.每一年度对部门整体支出进行绩效自评，对评价中发现的问题进行分析并提出改进措施。</w:t>
      </w:r>
    </w:p>
    <w:p w14:paraId="6C5C7F87">
      <w:pPr>
        <w:spacing w:line="579" w:lineRule="exact"/>
        <w:ind w:firstLine="640" w:firstLineChars="200"/>
        <w:outlineLvl w:val="0"/>
      </w:pPr>
      <w:r>
        <w:rPr>
          <w:rFonts w:hint="eastAsia" w:ascii="仿宋_GB2312" w:eastAsia="仿宋_GB2312" w:cs="仿宋_GB2312"/>
          <w:sz w:val="32"/>
          <w:szCs w:val="32"/>
        </w:rPr>
        <w:t>5.通过绩效指标体系明确了我局绩效管理工作的重要方向，在日常工作中不断改善，以高于指标体系的严标准、严要求指导具体的工作实施。</w:t>
      </w:r>
    </w:p>
    <w:p w14:paraId="152E721C">
      <w:pPr>
        <w:spacing w:line="575" w:lineRule="exact"/>
        <w:ind w:firstLine="640" w:firstLineChars="200"/>
        <w:rPr>
          <w:rFonts w:ascii="黑体" w:hAnsi="黑体" w:eastAsia="黑体" w:cs="Times New Roman"/>
          <w:sz w:val="32"/>
          <w:szCs w:val="32"/>
        </w:rPr>
      </w:pPr>
      <w:r>
        <w:rPr>
          <w:rFonts w:hint="eastAsia" w:ascii="黑体" w:hAnsi="黑体" w:eastAsia="黑体" w:cs="黑体"/>
          <w:sz w:val="32"/>
          <w:szCs w:val="32"/>
        </w:rPr>
        <w:t>六、存在问题及原因分析</w:t>
      </w:r>
    </w:p>
    <w:p w14:paraId="3335AB7A">
      <w:pPr>
        <w:spacing w:line="575"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结合评价指标体系来看，项目全生命周期管理过程中，存在资产管理规范性不足的问题。港嵘拔萃园配套幼儿园、山海四季城二期配套幼儿园及鹏瑞尚府配套幼儿园装修工程及设备购置项目</w:t>
      </w:r>
      <w:r>
        <w:rPr>
          <w:rFonts w:hint="eastAsia" w:ascii="仿宋_GB2312" w:eastAsia="仿宋_GB2312" w:cs="仿宋_GB2312"/>
          <w:sz w:val="32"/>
          <w:szCs w:val="32"/>
          <w:lang w:eastAsia="zh-CN"/>
        </w:rPr>
        <w:t>，均于</w:t>
      </w:r>
      <w:r>
        <w:rPr>
          <w:rFonts w:hint="eastAsia" w:ascii="仿宋_GB2312" w:eastAsia="仿宋_GB2312" w:cs="仿宋_GB2312"/>
          <w:sz w:val="32"/>
          <w:szCs w:val="32"/>
          <w:lang w:val="en-US" w:eastAsia="zh-CN"/>
        </w:rPr>
        <w:t>2025</w:t>
      </w:r>
      <w:r>
        <w:rPr>
          <w:rFonts w:hint="eastAsia" w:ascii="仿宋_GB2312" w:eastAsia="仿宋_GB2312" w:cs="仿宋_GB2312"/>
          <w:sz w:val="32"/>
          <w:szCs w:val="32"/>
        </w:rPr>
        <w:t>年完成竣工验收，</w:t>
      </w:r>
      <w:r>
        <w:rPr>
          <w:rFonts w:hint="eastAsia" w:ascii="仿宋_GB2312" w:eastAsia="仿宋_GB2312" w:cs="仿宋_GB2312"/>
          <w:sz w:val="32"/>
          <w:szCs w:val="32"/>
          <w:lang w:eastAsia="zh-CN"/>
        </w:rPr>
        <w:t>截止目前仍</w:t>
      </w:r>
      <w:r>
        <w:rPr>
          <w:rFonts w:hint="eastAsia" w:ascii="仿宋_GB2312" w:eastAsia="仿宋_GB2312" w:cs="仿宋_GB2312"/>
          <w:sz w:val="32"/>
          <w:szCs w:val="32"/>
        </w:rPr>
        <w:t>未完成资产登记入账，反映出项目全过程管理力度仍有待加强，后续应不断提高项目管理业务水平，在多项目并行的情况下，加强滚动闭环意识，对已完工项目及时开展竣工验收、评审与资产转固工作。</w:t>
      </w:r>
    </w:p>
    <w:p w14:paraId="3EF911EB">
      <w:pPr>
        <w:numPr>
          <w:ilvl w:val="0"/>
          <w:numId w:val="1"/>
        </w:numPr>
        <w:spacing w:line="575" w:lineRule="exact"/>
        <w:ind w:firstLine="640" w:firstLineChars="200"/>
        <w:rPr>
          <w:rFonts w:ascii="黑体" w:hAnsi="黑体" w:eastAsia="黑体" w:cs="黑体"/>
          <w:sz w:val="32"/>
          <w:szCs w:val="32"/>
        </w:rPr>
      </w:pPr>
      <w:r>
        <w:rPr>
          <w:rFonts w:hint="eastAsia" w:ascii="黑体" w:hAnsi="黑体" w:eastAsia="黑体" w:cs="黑体"/>
          <w:sz w:val="32"/>
          <w:szCs w:val="32"/>
        </w:rPr>
        <w:t>有关意见建议</w:t>
      </w:r>
    </w:p>
    <w:p w14:paraId="4FBCEC8C">
      <w:pPr>
        <w:spacing w:line="575"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综合本次绩效评价，针对提高专项债券资金使用绩效、加强专项债项目资产管理规范性不足的问题，提出以下整改措施：</w:t>
      </w:r>
    </w:p>
    <w:p w14:paraId="26324941">
      <w:pPr>
        <w:spacing w:line="575"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（一）建立绩效管理长效机制</w:t>
      </w:r>
    </w:p>
    <w:p w14:paraId="525FDC26">
      <w:pPr>
        <w:spacing w:line="575"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szCs w:val="32"/>
        </w:rPr>
        <w:t>1.绩效管理常态化。</w:t>
      </w:r>
      <w:r>
        <w:rPr>
          <w:rFonts w:hint="eastAsia" w:ascii="仿宋_GB2312" w:eastAsia="仿宋_GB2312" w:cs="仿宋_GB2312"/>
          <w:sz w:val="32"/>
          <w:szCs w:val="32"/>
        </w:rPr>
        <w:t>定期对预算执行情况进行检查，结合预算绩效管理做好支出预算财务分析，对预算项目执行过程中发现的问题和整改措施进行总结，形成经验，指导后续项目绩效管理工作。</w:t>
      </w:r>
    </w:p>
    <w:p w14:paraId="49FFCD6F">
      <w:pPr>
        <w:spacing w:line="575"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建立健全绩效管理的制度文件，指导具体预算绩效管理工作，根据实际管理中出现的新情况、新问题，及时对相关制度进行动态优化。同时加强对项目负责人员的培训，不断提高项目负责人员的项目规划能力，做精做细项目绩效指标编制，使各项指标更好地实现落地。</w:t>
      </w:r>
    </w:p>
    <w:p w14:paraId="1B0B1ECB">
      <w:pPr>
        <w:spacing w:line="575"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（二）加强项目全生命周期管理</w:t>
      </w:r>
    </w:p>
    <w:p w14:paraId="13E2BE5D">
      <w:pPr>
        <w:spacing w:line="575"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1.建立项目台账。对项目进行全流程跟踪管理，建立从立项、实施到竣工验收的全生命周期台账，确保项目信息清晰完整。</w:t>
      </w:r>
    </w:p>
    <w:p w14:paraId="7114CD30">
      <w:pPr>
        <w:spacing w:line="575"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2.强化过程监督。在项目建设过程中，定期对项目进展、资金使用和资产管理情况进行检查和监督，及时发现并解决问题。</w:t>
      </w:r>
    </w:p>
    <w:p w14:paraId="7DE0E67E">
      <w:pPr>
        <w:widowControl/>
        <w:jc w:val="left"/>
        <w:sectPr>
          <w:pgSz w:w="11906" w:h="16838"/>
          <w:pgMar w:top="1440" w:right="1800" w:bottom="1440" w:left="1800" w:header="851" w:footer="992" w:gutter="0"/>
          <w:cols w:space="425" w:num="1"/>
          <w:docGrid w:type="lines" w:linePitch="312" w:charSpace="0"/>
        </w:sectPr>
      </w:pPr>
      <w:r>
        <w:br w:type="page"/>
      </w:r>
    </w:p>
    <w:p w14:paraId="4C85117B">
      <w:pPr>
        <w:spacing w:line="575"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附表：202</w:t>
      </w: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年</w:t>
      </w:r>
      <w:r>
        <w:rPr>
          <w:rFonts w:hint="eastAsia" w:ascii="仿宋_GB2312" w:hAnsi="仿宋_GB2312" w:eastAsia="仿宋_GB2312" w:cs="仿宋_GB2312"/>
          <w:b/>
          <w:sz w:val="32"/>
          <w:szCs w:val="32"/>
          <w:lang w:eastAsia="zh-CN"/>
        </w:rPr>
        <w:t>深圳市</w:t>
      </w:r>
      <w:r>
        <w:rPr>
          <w:rFonts w:hint="eastAsia" w:ascii="仿宋_GB2312" w:hAnsi="仿宋_GB2312" w:eastAsia="仿宋_GB2312" w:cs="仿宋_GB2312"/>
          <w:b/>
          <w:sz w:val="32"/>
          <w:szCs w:val="32"/>
        </w:rPr>
        <w:t>盐田区幼儿园建设项目</w:t>
      </w:r>
      <w:r>
        <w:rPr>
          <w:rFonts w:hint="eastAsia" w:ascii="仿宋_GB2312" w:hAnsi="仿宋_GB2312" w:eastAsia="仿宋_GB2312" w:cs="仿宋_GB2312"/>
          <w:b/>
          <w:sz w:val="32"/>
          <w:szCs w:val="32"/>
          <w:lang w:eastAsia="zh-CN"/>
        </w:rPr>
        <w:t>（续发）</w:t>
      </w:r>
      <w:r>
        <w:rPr>
          <w:rFonts w:hint="eastAsia" w:ascii="仿宋_GB2312" w:hAnsi="仿宋_GB2312" w:eastAsia="仿宋_GB2312" w:cs="仿宋_GB2312"/>
          <w:b/>
          <w:sz w:val="32"/>
          <w:szCs w:val="32"/>
        </w:rPr>
        <w:t>专项债券项目资金绩效评价指标体系</w:t>
      </w:r>
    </w:p>
    <w:tbl>
      <w:tblPr>
        <w:tblStyle w:val="10"/>
        <w:tblW w:w="1449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712"/>
        <w:gridCol w:w="1134"/>
        <w:gridCol w:w="850"/>
        <w:gridCol w:w="1418"/>
        <w:gridCol w:w="850"/>
        <w:gridCol w:w="3119"/>
        <w:gridCol w:w="3543"/>
        <w:gridCol w:w="1080"/>
        <w:gridCol w:w="1077"/>
      </w:tblGrid>
      <w:tr w14:paraId="47F2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shd w:val="clear" w:color="auto" w:fill="auto"/>
            <w:noWrap/>
            <w:vAlign w:val="center"/>
          </w:tcPr>
          <w:p w14:paraId="4E0D319D">
            <w:pPr>
              <w:widowControl/>
              <w:ind w:right="-126" w:rightChars="-60"/>
              <w:jc w:val="center"/>
              <w:rPr>
                <w:rFonts w:ascii="宋体" w:hAnsi="宋体" w:cs="宋体"/>
                <w:b/>
                <w:bCs/>
                <w:kern w:val="0"/>
              </w:rPr>
            </w:pPr>
            <w:r>
              <w:rPr>
                <w:rFonts w:hint="eastAsia" w:ascii="宋体" w:hAnsi="宋体" w:cs="宋体"/>
                <w:b/>
                <w:bCs/>
                <w:kern w:val="0"/>
              </w:rPr>
              <w:t>一级指标</w:t>
            </w:r>
          </w:p>
        </w:tc>
        <w:tc>
          <w:tcPr>
            <w:tcW w:w="712" w:type="dxa"/>
            <w:shd w:val="clear" w:color="auto" w:fill="auto"/>
            <w:noWrap/>
            <w:vAlign w:val="center"/>
          </w:tcPr>
          <w:p w14:paraId="5582CC0C">
            <w:pPr>
              <w:widowControl/>
              <w:jc w:val="center"/>
              <w:rPr>
                <w:rFonts w:ascii="宋体" w:hAnsi="宋体" w:cs="宋体"/>
                <w:b/>
                <w:bCs/>
                <w:kern w:val="0"/>
              </w:rPr>
            </w:pPr>
            <w:r>
              <w:rPr>
                <w:rFonts w:hint="eastAsia" w:ascii="宋体" w:hAnsi="宋体" w:cs="宋体"/>
                <w:b/>
                <w:bCs/>
                <w:kern w:val="0"/>
              </w:rPr>
              <w:t>权重</w:t>
            </w:r>
          </w:p>
        </w:tc>
        <w:tc>
          <w:tcPr>
            <w:tcW w:w="1134" w:type="dxa"/>
            <w:shd w:val="clear" w:color="auto" w:fill="auto"/>
            <w:noWrap/>
            <w:vAlign w:val="center"/>
          </w:tcPr>
          <w:p w14:paraId="2FD7C5C6">
            <w:pPr>
              <w:widowControl/>
              <w:jc w:val="center"/>
              <w:rPr>
                <w:rFonts w:ascii="宋体" w:hAnsi="宋体" w:cs="宋体"/>
                <w:b/>
                <w:bCs/>
                <w:kern w:val="0"/>
              </w:rPr>
            </w:pPr>
            <w:r>
              <w:rPr>
                <w:rFonts w:hint="eastAsia" w:ascii="宋体" w:hAnsi="宋体" w:cs="宋体"/>
                <w:b/>
                <w:bCs/>
                <w:kern w:val="0"/>
              </w:rPr>
              <w:t>二级指标</w:t>
            </w:r>
          </w:p>
        </w:tc>
        <w:tc>
          <w:tcPr>
            <w:tcW w:w="850" w:type="dxa"/>
            <w:shd w:val="clear" w:color="auto" w:fill="auto"/>
            <w:noWrap/>
            <w:vAlign w:val="center"/>
          </w:tcPr>
          <w:p w14:paraId="114FD5E5">
            <w:pPr>
              <w:widowControl/>
              <w:jc w:val="center"/>
              <w:rPr>
                <w:rFonts w:ascii="宋体" w:hAnsi="宋体" w:cs="宋体"/>
                <w:b/>
                <w:bCs/>
                <w:kern w:val="0"/>
              </w:rPr>
            </w:pPr>
            <w:r>
              <w:rPr>
                <w:rFonts w:hint="eastAsia" w:ascii="宋体" w:hAnsi="宋体" w:cs="宋体"/>
                <w:b/>
                <w:bCs/>
                <w:kern w:val="0"/>
              </w:rPr>
              <w:t>权重</w:t>
            </w:r>
          </w:p>
        </w:tc>
        <w:tc>
          <w:tcPr>
            <w:tcW w:w="1418" w:type="dxa"/>
            <w:shd w:val="clear" w:color="auto" w:fill="auto"/>
            <w:noWrap/>
            <w:vAlign w:val="center"/>
          </w:tcPr>
          <w:p w14:paraId="55130DAD">
            <w:pPr>
              <w:widowControl/>
              <w:jc w:val="center"/>
              <w:rPr>
                <w:rFonts w:ascii="宋体" w:hAnsi="宋体" w:cs="宋体"/>
                <w:b/>
                <w:bCs/>
                <w:kern w:val="0"/>
              </w:rPr>
            </w:pPr>
            <w:r>
              <w:rPr>
                <w:rFonts w:hint="eastAsia" w:ascii="宋体" w:hAnsi="宋体" w:cs="宋体"/>
                <w:b/>
                <w:bCs/>
                <w:kern w:val="0"/>
              </w:rPr>
              <w:t>三级指标</w:t>
            </w:r>
          </w:p>
        </w:tc>
        <w:tc>
          <w:tcPr>
            <w:tcW w:w="850" w:type="dxa"/>
            <w:shd w:val="clear" w:color="auto" w:fill="auto"/>
            <w:noWrap/>
            <w:vAlign w:val="center"/>
          </w:tcPr>
          <w:p w14:paraId="6EBABC77">
            <w:pPr>
              <w:widowControl/>
              <w:jc w:val="center"/>
              <w:rPr>
                <w:rFonts w:ascii="宋体" w:hAnsi="宋体" w:cs="宋体"/>
                <w:b/>
                <w:bCs/>
                <w:kern w:val="0"/>
              </w:rPr>
            </w:pPr>
            <w:r>
              <w:rPr>
                <w:rFonts w:hint="eastAsia" w:ascii="宋体" w:hAnsi="宋体" w:cs="宋体"/>
                <w:b/>
                <w:bCs/>
                <w:kern w:val="0"/>
              </w:rPr>
              <w:t>权重</w:t>
            </w:r>
          </w:p>
        </w:tc>
        <w:tc>
          <w:tcPr>
            <w:tcW w:w="3119" w:type="dxa"/>
            <w:shd w:val="clear" w:color="auto" w:fill="auto"/>
            <w:vAlign w:val="center"/>
          </w:tcPr>
          <w:p w14:paraId="617BB0B3">
            <w:pPr>
              <w:widowControl/>
              <w:jc w:val="center"/>
              <w:rPr>
                <w:rFonts w:ascii="宋体" w:hAnsi="宋体" w:cs="宋体"/>
                <w:b/>
                <w:bCs/>
                <w:kern w:val="0"/>
              </w:rPr>
            </w:pPr>
            <w:r>
              <w:rPr>
                <w:rFonts w:hint="eastAsia" w:ascii="宋体" w:hAnsi="宋体" w:cs="宋体"/>
                <w:b/>
                <w:bCs/>
                <w:kern w:val="0"/>
              </w:rPr>
              <w:t>指标解释</w:t>
            </w:r>
          </w:p>
        </w:tc>
        <w:tc>
          <w:tcPr>
            <w:tcW w:w="3543" w:type="dxa"/>
            <w:shd w:val="clear" w:color="auto" w:fill="auto"/>
            <w:vAlign w:val="center"/>
          </w:tcPr>
          <w:p w14:paraId="4BD75099">
            <w:pPr>
              <w:widowControl/>
              <w:jc w:val="center"/>
              <w:rPr>
                <w:rFonts w:ascii="宋体" w:hAnsi="宋体" w:cs="宋体"/>
                <w:b/>
                <w:bCs/>
                <w:kern w:val="0"/>
              </w:rPr>
            </w:pPr>
            <w:r>
              <w:rPr>
                <w:rFonts w:hint="eastAsia" w:ascii="宋体" w:hAnsi="宋体" w:cs="宋体"/>
                <w:b/>
                <w:bCs/>
                <w:kern w:val="0"/>
              </w:rPr>
              <w:t>评价要点</w:t>
            </w:r>
          </w:p>
        </w:tc>
        <w:tc>
          <w:tcPr>
            <w:tcW w:w="1080" w:type="dxa"/>
            <w:shd w:val="clear" w:color="auto" w:fill="auto"/>
            <w:noWrap/>
            <w:vAlign w:val="center"/>
          </w:tcPr>
          <w:p w14:paraId="26E16055">
            <w:pPr>
              <w:widowControl/>
              <w:jc w:val="center"/>
              <w:rPr>
                <w:rFonts w:ascii="宋体" w:hAnsi="宋体" w:cs="宋体"/>
                <w:b/>
                <w:bCs/>
                <w:kern w:val="0"/>
              </w:rPr>
            </w:pPr>
            <w:r>
              <w:rPr>
                <w:rFonts w:hint="eastAsia" w:ascii="宋体" w:hAnsi="宋体" w:cs="宋体"/>
                <w:b/>
                <w:bCs/>
                <w:kern w:val="0"/>
              </w:rPr>
              <w:t>分值</w:t>
            </w:r>
          </w:p>
        </w:tc>
        <w:tc>
          <w:tcPr>
            <w:tcW w:w="1077" w:type="dxa"/>
            <w:vAlign w:val="center"/>
          </w:tcPr>
          <w:p w14:paraId="021A421B">
            <w:pPr>
              <w:widowControl/>
              <w:jc w:val="center"/>
              <w:rPr>
                <w:rFonts w:ascii="宋体" w:hAnsi="宋体" w:cs="宋体"/>
                <w:b/>
                <w:bCs/>
                <w:kern w:val="0"/>
              </w:rPr>
            </w:pPr>
            <w:r>
              <w:rPr>
                <w:rFonts w:hint="eastAsia" w:ascii="宋体" w:hAnsi="宋体" w:cs="宋体"/>
                <w:b/>
                <w:bCs/>
                <w:kern w:val="0"/>
              </w:rPr>
              <w:t>得分</w:t>
            </w:r>
          </w:p>
        </w:tc>
      </w:tr>
      <w:tr w14:paraId="28D9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vMerge w:val="restart"/>
            <w:shd w:val="clear" w:color="auto" w:fill="auto"/>
            <w:vAlign w:val="center"/>
          </w:tcPr>
          <w:p w14:paraId="23785EA3">
            <w:pPr>
              <w:widowControl/>
              <w:jc w:val="center"/>
              <w:rPr>
                <w:rFonts w:ascii="宋体" w:hAnsi="宋体" w:cs="宋体"/>
                <w:color w:val="000000"/>
                <w:kern w:val="0"/>
              </w:rPr>
            </w:pPr>
            <w:r>
              <w:rPr>
                <w:rFonts w:hint="eastAsia" w:ascii="宋体" w:hAnsi="宋体" w:cs="宋体"/>
                <w:color w:val="000000"/>
                <w:kern w:val="0"/>
              </w:rPr>
              <w:t>决策（20分）</w:t>
            </w:r>
          </w:p>
        </w:tc>
        <w:tc>
          <w:tcPr>
            <w:tcW w:w="712" w:type="dxa"/>
            <w:vMerge w:val="restart"/>
            <w:shd w:val="clear" w:color="auto" w:fill="auto"/>
            <w:vAlign w:val="center"/>
          </w:tcPr>
          <w:p w14:paraId="0E75862F">
            <w:pPr>
              <w:widowControl/>
              <w:jc w:val="center"/>
              <w:rPr>
                <w:rFonts w:ascii="宋体" w:hAnsi="宋体" w:cs="宋体"/>
                <w:color w:val="000000"/>
                <w:kern w:val="0"/>
              </w:rPr>
            </w:pPr>
            <w:r>
              <w:rPr>
                <w:rFonts w:hint="eastAsia" w:ascii="宋体" w:hAnsi="宋体" w:cs="宋体"/>
                <w:color w:val="000000"/>
                <w:kern w:val="0"/>
              </w:rPr>
              <w:t>20%</w:t>
            </w:r>
          </w:p>
        </w:tc>
        <w:tc>
          <w:tcPr>
            <w:tcW w:w="1134" w:type="dxa"/>
            <w:shd w:val="clear" w:color="auto" w:fill="auto"/>
            <w:vAlign w:val="center"/>
          </w:tcPr>
          <w:p w14:paraId="47B602D6">
            <w:pPr>
              <w:widowControl/>
              <w:jc w:val="center"/>
              <w:rPr>
                <w:rFonts w:ascii="宋体" w:hAnsi="宋体" w:cs="宋体"/>
                <w:color w:val="000000"/>
                <w:kern w:val="0"/>
              </w:rPr>
            </w:pPr>
            <w:r>
              <w:rPr>
                <w:rFonts w:hint="eastAsia" w:ascii="宋体" w:hAnsi="宋体" w:cs="宋体"/>
                <w:color w:val="000000"/>
                <w:kern w:val="0"/>
              </w:rPr>
              <w:t>项目立项</w:t>
            </w:r>
          </w:p>
        </w:tc>
        <w:tc>
          <w:tcPr>
            <w:tcW w:w="850" w:type="dxa"/>
            <w:shd w:val="clear" w:color="auto" w:fill="auto"/>
            <w:vAlign w:val="center"/>
          </w:tcPr>
          <w:p w14:paraId="18855855">
            <w:pPr>
              <w:widowControl/>
              <w:jc w:val="center"/>
              <w:rPr>
                <w:rFonts w:ascii="宋体" w:hAnsi="宋体" w:cs="宋体"/>
                <w:color w:val="000000"/>
                <w:kern w:val="0"/>
              </w:rPr>
            </w:pPr>
            <w:r>
              <w:rPr>
                <w:rFonts w:hint="eastAsia" w:ascii="宋体" w:hAnsi="宋体" w:cs="宋体"/>
                <w:color w:val="000000"/>
                <w:kern w:val="0"/>
              </w:rPr>
              <w:t>25%</w:t>
            </w:r>
          </w:p>
        </w:tc>
        <w:tc>
          <w:tcPr>
            <w:tcW w:w="1418" w:type="dxa"/>
            <w:shd w:val="clear" w:color="auto" w:fill="auto"/>
            <w:noWrap/>
            <w:vAlign w:val="center"/>
          </w:tcPr>
          <w:p w14:paraId="39F9B835">
            <w:pPr>
              <w:widowControl/>
              <w:jc w:val="center"/>
              <w:rPr>
                <w:rFonts w:ascii="宋体" w:hAnsi="宋体" w:cs="宋体"/>
                <w:kern w:val="0"/>
              </w:rPr>
            </w:pPr>
            <w:r>
              <w:rPr>
                <w:rFonts w:hint="eastAsia" w:ascii="宋体" w:hAnsi="宋体" w:cs="宋体"/>
                <w:kern w:val="0"/>
              </w:rPr>
              <w:t>项目立项依据的充分性</w:t>
            </w:r>
          </w:p>
        </w:tc>
        <w:tc>
          <w:tcPr>
            <w:tcW w:w="850" w:type="dxa"/>
            <w:shd w:val="clear" w:color="auto" w:fill="auto"/>
            <w:noWrap/>
            <w:vAlign w:val="center"/>
          </w:tcPr>
          <w:p w14:paraId="5F7ADB6C">
            <w:pPr>
              <w:widowControl/>
              <w:jc w:val="center"/>
              <w:rPr>
                <w:rFonts w:ascii="宋体" w:hAnsi="宋体" w:cs="宋体"/>
                <w:kern w:val="0"/>
              </w:rPr>
            </w:pPr>
            <w:r>
              <w:rPr>
                <w:rFonts w:hint="eastAsia" w:ascii="宋体" w:hAnsi="宋体" w:cs="宋体"/>
                <w:kern w:val="0"/>
              </w:rPr>
              <w:t>100%</w:t>
            </w:r>
          </w:p>
        </w:tc>
        <w:tc>
          <w:tcPr>
            <w:tcW w:w="3119" w:type="dxa"/>
            <w:shd w:val="clear" w:color="auto" w:fill="auto"/>
            <w:vAlign w:val="center"/>
          </w:tcPr>
          <w:p w14:paraId="642E0465">
            <w:pPr>
              <w:widowControl/>
              <w:jc w:val="left"/>
              <w:rPr>
                <w:rFonts w:ascii="宋体" w:hAnsi="宋体" w:cs="宋体"/>
                <w:kern w:val="0"/>
              </w:rPr>
            </w:pPr>
            <w:r>
              <w:rPr>
                <w:rFonts w:hint="eastAsia" w:ascii="宋体" w:hAnsi="宋体" w:cs="宋体"/>
                <w:kern w:val="0"/>
              </w:rPr>
              <w:t>反映项目立项批复等情况。</w:t>
            </w:r>
          </w:p>
        </w:tc>
        <w:tc>
          <w:tcPr>
            <w:tcW w:w="3543" w:type="dxa"/>
            <w:shd w:val="clear" w:color="auto" w:fill="auto"/>
            <w:vAlign w:val="center"/>
          </w:tcPr>
          <w:p w14:paraId="63999368">
            <w:pPr>
              <w:rPr>
                <w:rFonts w:ascii="宋体" w:hAnsi="宋体" w:cs="宋体"/>
                <w:color w:val="000000"/>
              </w:rPr>
            </w:pPr>
            <w:r>
              <w:rPr>
                <w:rFonts w:hint="eastAsia"/>
                <w:color w:val="000000"/>
              </w:rPr>
              <w:t>项目立项批复完成情况。</w:t>
            </w:r>
          </w:p>
        </w:tc>
        <w:tc>
          <w:tcPr>
            <w:tcW w:w="1080" w:type="dxa"/>
            <w:shd w:val="clear" w:color="auto" w:fill="auto"/>
            <w:noWrap/>
            <w:vAlign w:val="center"/>
          </w:tcPr>
          <w:p w14:paraId="75293F35">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77" w:type="dxa"/>
            <w:vAlign w:val="center"/>
          </w:tcPr>
          <w:p w14:paraId="16A6419A">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14:paraId="6222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vMerge w:val="continue"/>
            <w:vAlign w:val="center"/>
          </w:tcPr>
          <w:p w14:paraId="112CCF36">
            <w:pPr>
              <w:widowControl/>
              <w:jc w:val="left"/>
              <w:rPr>
                <w:rFonts w:ascii="宋体" w:hAnsi="宋体" w:cs="宋体"/>
                <w:color w:val="000000"/>
                <w:kern w:val="0"/>
              </w:rPr>
            </w:pPr>
          </w:p>
        </w:tc>
        <w:tc>
          <w:tcPr>
            <w:tcW w:w="712" w:type="dxa"/>
            <w:vMerge w:val="continue"/>
            <w:vAlign w:val="center"/>
          </w:tcPr>
          <w:p w14:paraId="2C941201">
            <w:pPr>
              <w:widowControl/>
              <w:jc w:val="left"/>
              <w:rPr>
                <w:rFonts w:ascii="宋体" w:hAnsi="宋体" w:cs="宋体"/>
                <w:color w:val="000000"/>
                <w:kern w:val="0"/>
              </w:rPr>
            </w:pPr>
          </w:p>
        </w:tc>
        <w:tc>
          <w:tcPr>
            <w:tcW w:w="1134" w:type="dxa"/>
            <w:shd w:val="clear" w:color="auto" w:fill="auto"/>
            <w:vAlign w:val="center"/>
          </w:tcPr>
          <w:p w14:paraId="69E14BD9">
            <w:pPr>
              <w:widowControl/>
              <w:jc w:val="center"/>
              <w:rPr>
                <w:rFonts w:ascii="宋体" w:hAnsi="宋体" w:cs="宋体"/>
                <w:color w:val="000000"/>
                <w:kern w:val="0"/>
              </w:rPr>
            </w:pPr>
            <w:r>
              <w:rPr>
                <w:rFonts w:hint="eastAsia" w:ascii="宋体" w:hAnsi="宋体" w:cs="宋体"/>
                <w:color w:val="000000"/>
                <w:kern w:val="0"/>
              </w:rPr>
              <w:t>项目储备</w:t>
            </w:r>
          </w:p>
        </w:tc>
        <w:tc>
          <w:tcPr>
            <w:tcW w:w="850" w:type="dxa"/>
            <w:shd w:val="clear" w:color="auto" w:fill="auto"/>
            <w:vAlign w:val="center"/>
          </w:tcPr>
          <w:p w14:paraId="291C23E1">
            <w:pPr>
              <w:widowControl/>
              <w:jc w:val="center"/>
              <w:rPr>
                <w:rFonts w:ascii="宋体" w:hAnsi="宋体" w:cs="宋体"/>
                <w:color w:val="000000"/>
                <w:kern w:val="0"/>
              </w:rPr>
            </w:pPr>
            <w:r>
              <w:rPr>
                <w:rFonts w:hint="eastAsia" w:ascii="宋体" w:hAnsi="宋体" w:cs="宋体"/>
                <w:color w:val="000000"/>
                <w:kern w:val="0"/>
              </w:rPr>
              <w:t>25%</w:t>
            </w:r>
          </w:p>
        </w:tc>
        <w:tc>
          <w:tcPr>
            <w:tcW w:w="1418" w:type="dxa"/>
            <w:shd w:val="clear" w:color="auto" w:fill="auto"/>
            <w:noWrap/>
            <w:vAlign w:val="center"/>
          </w:tcPr>
          <w:p w14:paraId="4A0689DE">
            <w:pPr>
              <w:widowControl/>
              <w:jc w:val="center"/>
              <w:rPr>
                <w:rFonts w:ascii="宋体" w:hAnsi="宋体" w:cs="宋体"/>
                <w:kern w:val="0"/>
              </w:rPr>
            </w:pPr>
            <w:r>
              <w:rPr>
                <w:rFonts w:hint="eastAsia" w:ascii="宋体" w:hAnsi="宋体" w:cs="宋体"/>
                <w:kern w:val="0"/>
              </w:rPr>
              <w:t>投向方向</w:t>
            </w:r>
          </w:p>
        </w:tc>
        <w:tc>
          <w:tcPr>
            <w:tcW w:w="850" w:type="dxa"/>
            <w:shd w:val="clear" w:color="auto" w:fill="auto"/>
            <w:noWrap/>
            <w:vAlign w:val="center"/>
          </w:tcPr>
          <w:p w14:paraId="48D0E73F">
            <w:pPr>
              <w:widowControl/>
              <w:jc w:val="center"/>
              <w:rPr>
                <w:rFonts w:ascii="宋体" w:hAnsi="宋体" w:cs="宋体"/>
                <w:kern w:val="0"/>
              </w:rPr>
            </w:pPr>
            <w:r>
              <w:rPr>
                <w:rFonts w:hint="eastAsia" w:ascii="宋体" w:hAnsi="宋体" w:cs="宋体"/>
                <w:kern w:val="0"/>
              </w:rPr>
              <w:t>100%</w:t>
            </w:r>
          </w:p>
        </w:tc>
        <w:tc>
          <w:tcPr>
            <w:tcW w:w="3119" w:type="dxa"/>
            <w:shd w:val="clear" w:color="auto" w:fill="auto"/>
            <w:vAlign w:val="center"/>
          </w:tcPr>
          <w:p w14:paraId="0A1DE843">
            <w:pPr>
              <w:widowControl/>
              <w:jc w:val="left"/>
              <w:rPr>
                <w:rFonts w:ascii="宋体" w:hAnsi="宋体" w:cs="宋体"/>
                <w:kern w:val="0"/>
              </w:rPr>
            </w:pPr>
            <w:r>
              <w:rPr>
                <w:rFonts w:hint="eastAsia" w:ascii="宋体" w:hAnsi="宋体" w:cs="宋体"/>
                <w:kern w:val="0"/>
              </w:rPr>
              <w:t>反映</w:t>
            </w:r>
            <w:r>
              <w:rPr>
                <w:rFonts w:hint="eastAsia" w:ascii="宋体" w:hAnsi="宋体" w:cs="宋体"/>
                <w:color w:val="000000"/>
                <w:kern w:val="0"/>
              </w:rPr>
              <w:t>项目是否符合专项债券投向领域和方向等情况。</w:t>
            </w:r>
          </w:p>
        </w:tc>
        <w:tc>
          <w:tcPr>
            <w:tcW w:w="3543" w:type="dxa"/>
            <w:shd w:val="clear" w:color="auto" w:fill="auto"/>
            <w:vAlign w:val="center"/>
          </w:tcPr>
          <w:p w14:paraId="505F8A1A">
            <w:pPr>
              <w:rPr>
                <w:rFonts w:ascii="宋体" w:hAnsi="宋体" w:cs="宋体"/>
                <w:color w:val="000000"/>
              </w:rPr>
            </w:pPr>
            <w:r>
              <w:rPr>
                <w:rFonts w:hint="eastAsia"/>
                <w:color w:val="000000"/>
              </w:rPr>
              <w:t>①项目是否属于公益性项目；②项目是否符合专项债券支持领域和方向；③项目专项债券资金建设内容是否符合专项债券使用管理要求。</w:t>
            </w:r>
          </w:p>
        </w:tc>
        <w:tc>
          <w:tcPr>
            <w:tcW w:w="1080" w:type="dxa"/>
            <w:shd w:val="clear" w:color="auto" w:fill="auto"/>
            <w:noWrap/>
            <w:vAlign w:val="center"/>
          </w:tcPr>
          <w:p w14:paraId="2CBBB744">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77" w:type="dxa"/>
            <w:vAlign w:val="center"/>
          </w:tcPr>
          <w:p w14:paraId="27D3058C">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14:paraId="6425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vMerge w:val="continue"/>
            <w:vAlign w:val="center"/>
          </w:tcPr>
          <w:p w14:paraId="7F39C04B">
            <w:pPr>
              <w:widowControl/>
              <w:jc w:val="left"/>
              <w:rPr>
                <w:rFonts w:ascii="宋体" w:hAnsi="宋体" w:cs="宋体"/>
                <w:color w:val="000000"/>
                <w:kern w:val="0"/>
              </w:rPr>
            </w:pPr>
          </w:p>
        </w:tc>
        <w:tc>
          <w:tcPr>
            <w:tcW w:w="712" w:type="dxa"/>
            <w:vMerge w:val="continue"/>
            <w:vAlign w:val="center"/>
          </w:tcPr>
          <w:p w14:paraId="322D4A4C">
            <w:pPr>
              <w:widowControl/>
              <w:jc w:val="left"/>
              <w:rPr>
                <w:rFonts w:ascii="宋体" w:hAnsi="宋体" w:cs="宋体"/>
                <w:color w:val="000000"/>
                <w:kern w:val="0"/>
              </w:rPr>
            </w:pPr>
          </w:p>
        </w:tc>
        <w:tc>
          <w:tcPr>
            <w:tcW w:w="1134" w:type="dxa"/>
            <w:shd w:val="clear" w:color="auto" w:fill="auto"/>
            <w:vAlign w:val="center"/>
          </w:tcPr>
          <w:p w14:paraId="51F8AC97">
            <w:pPr>
              <w:widowControl/>
              <w:jc w:val="center"/>
              <w:rPr>
                <w:rFonts w:ascii="宋体" w:hAnsi="宋体" w:cs="宋体"/>
                <w:color w:val="000000"/>
                <w:kern w:val="0"/>
              </w:rPr>
            </w:pPr>
            <w:r>
              <w:rPr>
                <w:rFonts w:hint="eastAsia" w:ascii="宋体" w:hAnsi="宋体" w:cs="宋体"/>
                <w:color w:val="000000"/>
                <w:kern w:val="0"/>
              </w:rPr>
              <w:t>绩效目标</w:t>
            </w:r>
          </w:p>
        </w:tc>
        <w:tc>
          <w:tcPr>
            <w:tcW w:w="850" w:type="dxa"/>
            <w:shd w:val="clear" w:color="auto" w:fill="auto"/>
            <w:vAlign w:val="center"/>
          </w:tcPr>
          <w:p w14:paraId="6D9DBB84">
            <w:pPr>
              <w:widowControl/>
              <w:jc w:val="center"/>
              <w:rPr>
                <w:rFonts w:ascii="宋体" w:hAnsi="宋体" w:cs="宋体"/>
                <w:color w:val="000000"/>
                <w:kern w:val="0"/>
              </w:rPr>
            </w:pPr>
            <w:r>
              <w:rPr>
                <w:rFonts w:hint="eastAsia" w:ascii="宋体" w:hAnsi="宋体" w:cs="宋体"/>
                <w:color w:val="000000"/>
                <w:kern w:val="0"/>
              </w:rPr>
              <w:t>25%</w:t>
            </w:r>
          </w:p>
        </w:tc>
        <w:tc>
          <w:tcPr>
            <w:tcW w:w="1418" w:type="dxa"/>
            <w:shd w:val="clear" w:color="auto" w:fill="auto"/>
            <w:noWrap/>
            <w:vAlign w:val="center"/>
          </w:tcPr>
          <w:p w14:paraId="51324C87">
            <w:pPr>
              <w:widowControl/>
              <w:jc w:val="center"/>
              <w:rPr>
                <w:rFonts w:ascii="宋体" w:hAnsi="宋体" w:cs="宋体"/>
                <w:kern w:val="0"/>
              </w:rPr>
            </w:pPr>
            <w:r>
              <w:rPr>
                <w:rFonts w:hint="eastAsia" w:ascii="宋体" w:hAnsi="宋体" w:cs="宋体"/>
                <w:kern w:val="0"/>
              </w:rPr>
              <w:t>绩效目标合理性</w:t>
            </w:r>
          </w:p>
        </w:tc>
        <w:tc>
          <w:tcPr>
            <w:tcW w:w="850" w:type="dxa"/>
            <w:shd w:val="clear" w:color="auto" w:fill="auto"/>
            <w:noWrap/>
            <w:vAlign w:val="center"/>
          </w:tcPr>
          <w:p w14:paraId="2A464FA7">
            <w:pPr>
              <w:widowControl/>
              <w:jc w:val="center"/>
              <w:rPr>
                <w:rFonts w:ascii="宋体" w:hAnsi="宋体" w:cs="宋体"/>
                <w:kern w:val="0"/>
              </w:rPr>
            </w:pPr>
            <w:r>
              <w:rPr>
                <w:rFonts w:hint="eastAsia" w:ascii="宋体" w:hAnsi="宋体" w:cs="宋体"/>
                <w:kern w:val="0"/>
              </w:rPr>
              <w:t>100%</w:t>
            </w:r>
          </w:p>
        </w:tc>
        <w:tc>
          <w:tcPr>
            <w:tcW w:w="3119" w:type="dxa"/>
            <w:shd w:val="clear" w:color="auto" w:fill="auto"/>
            <w:vAlign w:val="center"/>
          </w:tcPr>
          <w:p w14:paraId="4FA948C5">
            <w:pPr>
              <w:widowControl/>
              <w:jc w:val="left"/>
              <w:rPr>
                <w:rFonts w:ascii="宋体" w:hAnsi="宋体" w:cs="宋体"/>
                <w:kern w:val="0"/>
              </w:rPr>
            </w:pPr>
            <w:r>
              <w:rPr>
                <w:rFonts w:hint="eastAsia" w:ascii="宋体" w:hAnsi="宋体" w:cs="宋体"/>
                <w:kern w:val="0"/>
              </w:rPr>
              <w:t>反映绩效目标</w:t>
            </w:r>
            <w:r>
              <w:rPr>
                <w:rFonts w:hint="eastAsia" w:ascii="宋体" w:hAnsi="宋体" w:cs="宋体"/>
                <w:color w:val="000000"/>
                <w:kern w:val="0"/>
              </w:rPr>
              <w:t>设置的合理性，</w:t>
            </w:r>
            <w:r>
              <w:rPr>
                <w:rFonts w:hint="eastAsia" w:ascii="宋体" w:hAnsi="宋体" w:cs="宋体"/>
                <w:kern w:val="0"/>
              </w:rPr>
              <w:t>是否反映客观实际。</w:t>
            </w:r>
          </w:p>
        </w:tc>
        <w:tc>
          <w:tcPr>
            <w:tcW w:w="3543" w:type="dxa"/>
            <w:shd w:val="clear" w:color="auto" w:fill="auto"/>
            <w:vAlign w:val="center"/>
          </w:tcPr>
          <w:p w14:paraId="46C6EC8C">
            <w:pPr>
              <w:rPr>
                <w:rFonts w:ascii="宋体" w:hAnsi="宋体" w:cs="宋体"/>
                <w:color w:val="000000"/>
              </w:rPr>
            </w:pPr>
            <w:r>
              <w:rPr>
                <w:rFonts w:hint="eastAsia"/>
                <w:color w:val="000000"/>
              </w:rPr>
              <w:t>绩效目标是否与项目属性特点、资金支出内容相关，同时合乎客观实际。</w:t>
            </w:r>
          </w:p>
        </w:tc>
        <w:tc>
          <w:tcPr>
            <w:tcW w:w="1080" w:type="dxa"/>
            <w:shd w:val="clear" w:color="auto" w:fill="auto"/>
            <w:noWrap/>
            <w:vAlign w:val="center"/>
          </w:tcPr>
          <w:p w14:paraId="242CBB7D">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77" w:type="dxa"/>
            <w:vAlign w:val="center"/>
          </w:tcPr>
          <w:p w14:paraId="18EAC0B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5</w:t>
            </w:r>
          </w:p>
        </w:tc>
      </w:tr>
      <w:tr w14:paraId="27E5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vMerge w:val="continue"/>
            <w:vAlign w:val="center"/>
          </w:tcPr>
          <w:p w14:paraId="189D247B">
            <w:pPr>
              <w:widowControl/>
              <w:jc w:val="left"/>
              <w:rPr>
                <w:rFonts w:ascii="宋体" w:hAnsi="宋体" w:cs="宋体"/>
                <w:color w:val="000000"/>
                <w:kern w:val="0"/>
              </w:rPr>
            </w:pPr>
          </w:p>
        </w:tc>
        <w:tc>
          <w:tcPr>
            <w:tcW w:w="712" w:type="dxa"/>
            <w:vMerge w:val="continue"/>
            <w:vAlign w:val="center"/>
          </w:tcPr>
          <w:p w14:paraId="36779503">
            <w:pPr>
              <w:widowControl/>
              <w:jc w:val="left"/>
              <w:rPr>
                <w:rFonts w:ascii="宋体" w:hAnsi="宋体" w:cs="宋体"/>
                <w:color w:val="000000"/>
                <w:kern w:val="0"/>
              </w:rPr>
            </w:pPr>
          </w:p>
        </w:tc>
        <w:tc>
          <w:tcPr>
            <w:tcW w:w="1134" w:type="dxa"/>
            <w:shd w:val="clear" w:color="auto" w:fill="auto"/>
            <w:noWrap/>
            <w:vAlign w:val="center"/>
          </w:tcPr>
          <w:p w14:paraId="3FDA96DE">
            <w:pPr>
              <w:widowControl/>
              <w:jc w:val="center"/>
              <w:rPr>
                <w:rFonts w:ascii="宋体" w:hAnsi="宋体" w:cs="宋体"/>
                <w:kern w:val="0"/>
              </w:rPr>
            </w:pPr>
            <w:r>
              <w:rPr>
                <w:rFonts w:hint="eastAsia" w:ascii="宋体" w:hAnsi="宋体" w:cs="宋体"/>
                <w:kern w:val="0"/>
              </w:rPr>
              <w:t>资金需求</w:t>
            </w:r>
          </w:p>
        </w:tc>
        <w:tc>
          <w:tcPr>
            <w:tcW w:w="850" w:type="dxa"/>
            <w:shd w:val="clear" w:color="auto" w:fill="auto"/>
            <w:vAlign w:val="center"/>
          </w:tcPr>
          <w:p w14:paraId="29AA6717">
            <w:pPr>
              <w:widowControl/>
              <w:jc w:val="center"/>
              <w:rPr>
                <w:rFonts w:ascii="宋体" w:hAnsi="宋体" w:cs="宋体"/>
                <w:color w:val="000000"/>
                <w:kern w:val="0"/>
              </w:rPr>
            </w:pPr>
            <w:r>
              <w:rPr>
                <w:rFonts w:hint="eastAsia" w:ascii="宋体" w:hAnsi="宋体" w:cs="宋体"/>
                <w:color w:val="000000"/>
                <w:kern w:val="0"/>
              </w:rPr>
              <w:t>25%</w:t>
            </w:r>
          </w:p>
        </w:tc>
        <w:tc>
          <w:tcPr>
            <w:tcW w:w="1418" w:type="dxa"/>
            <w:shd w:val="clear" w:color="auto" w:fill="auto"/>
            <w:noWrap/>
            <w:vAlign w:val="center"/>
          </w:tcPr>
          <w:p w14:paraId="7A30EF9D">
            <w:pPr>
              <w:widowControl/>
              <w:jc w:val="center"/>
              <w:rPr>
                <w:rFonts w:ascii="宋体" w:hAnsi="宋体" w:cs="宋体"/>
                <w:color w:val="000000"/>
                <w:kern w:val="0"/>
              </w:rPr>
            </w:pPr>
            <w:r>
              <w:rPr>
                <w:rFonts w:hint="eastAsia" w:ascii="宋体" w:hAnsi="宋体" w:cs="宋体"/>
                <w:color w:val="000000"/>
                <w:kern w:val="0"/>
              </w:rPr>
              <w:t>资金需求合理性</w:t>
            </w:r>
          </w:p>
        </w:tc>
        <w:tc>
          <w:tcPr>
            <w:tcW w:w="850" w:type="dxa"/>
            <w:shd w:val="clear" w:color="auto" w:fill="auto"/>
            <w:noWrap/>
            <w:vAlign w:val="center"/>
          </w:tcPr>
          <w:p w14:paraId="3622B833">
            <w:pPr>
              <w:widowControl/>
              <w:jc w:val="center"/>
              <w:rPr>
                <w:rFonts w:ascii="宋体" w:hAnsi="宋体" w:cs="宋体"/>
                <w:kern w:val="0"/>
              </w:rPr>
            </w:pPr>
            <w:r>
              <w:rPr>
                <w:rFonts w:hint="eastAsia" w:ascii="宋体" w:hAnsi="宋体" w:cs="宋体"/>
                <w:kern w:val="0"/>
              </w:rPr>
              <w:t>100%</w:t>
            </w:r>
          </w:p>
        </w:tc>
        <w:tc>
          <w:tcPr>
            <w:tcW w:w="3119" w:type="dxa"/>
            <w:shd w:val="clear" w:color="auto" w:fill="auto"/>
            <w:vAlign w:val="center"/>
          </w:tcPr>
          <w:p w14:paraId="0F927033">
            <w:pPr>
              <w:widowControl/>
              <w:jc w:val="left"/>
              <w:rPr>
                <w:rFonts w:ascii="宋体" w:hAnsi="宋体" w:cs="宋体"/>
                <w:kern w:val="0"/>
              </w:rPr>
            </w:pPr>
            <w:r>
              <w:rPr>
                <w:rFonts w:hint="eastAsia" w:ascii="宋体" w:hAnsi="宋体" w:cs="宋体"/>
                <w:kern w:val="0"/>
              </w:rPr>
              <w:t>反映项目专项债券资金需求申报的合理性。</w:t>
            </w:r>
          </w:p>
        </w:tc>
        <w:tc>
          <w:tcPr>
            <w:tcW w:w="3543" w:type="dxa"/>
            <w:shd w:val="clear" w:color="auto" w:fill="auto"/>
            <w:vAlign w:val="center"/>
          </w:tcPr>
          <w:p w14:paraId="1C5C842B">
            <w:pPr>
              <w:rPr>
                <w:rFonts w:ascii="宋体" w:hAnsi="宋体" w:cs="宋体"/>
                <w:color w:val="000000"/>
              </w:rPr>
            </w:pPr>
            <w:r>
              <w:rPr>
                <w:rFonts w:hint="eastAsia"/>
                <w:color w:val="000000"/>
              </w:rPr>
              <w:t>①项目收入、成本及预期收益测算是否科学合理等；②项目申请专项债券额度与实际需求匹配情况。</w:t>
            </w:r>
          </w:p>
        </w:tc>
        <w:tc>
          <w:tcPr>
            <w:tcW w:w="1080" w:type="dxa"/>
            <w:shd w:val="clear" w:color="auto" w:fill="auto"/>
            <w:noWrap/>
            <w:vAlign w:val="center"/>
          </w:tcPr>
          <w:p w14:paraId="16EF919F">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77" w:type="dxa"/>
            <w:vAlign w:val="center"/>
          </w:tcPr>
          <w:p w14:paraId="0EFC8E8A">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14:paraId="1F5B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vMerge w:val="restart"/>
            <w:shd w:val="clear" w:color="auto" w:fill="auto"/>
            <w:noWrap/>
            <w:vAlign w:val="center"/>
          </w:tcPr>
          <w:p w14:paraId="6D763B02">
            <w:pPr>
              <w:widowControl/>
              <w:jc w:val="center"/>
              <w:rPr>
                <w:rFonts w:ascii="宋体" w:hAnsi="宋体" w:cs="宋体"/>
                <w:kern w:val="0"/>
              </w:rPr>
            </w:pPr>
            <w:r>
              <w:rPr>
                <w:rFonts w:hint="eastAsia" w:ascii="宋体" w:hAnsi="宋体" w:cs="宋体"/>
                <w:kern w:val="0"/>
              </w:rPr>
              <w:t>管理（30分）</w:t>
            </w:r>
          </w:p>
        </w:tc>
        <w:tc>
          <w:tcPr>
            <w:tcW w:w="712" w:type="dxa"/>
            <w:vMerge w:val="restart"/>
            <w:shd w:val="clear" w:color="auto" w:fill="auto"/>
            <w:noWrap/>
            <w:vAlign w:val="center"/>
          </w:tcPr>
          <w:p w14:paraId="509ACD98">
            <w:pPr>
              <w:widowControl/>
              <w:jc w:val="center"/>
              <w:rPr>
                <w:rFonts w:ascii="宋体" w:hAnsi="宋体" w:cs="宋体"/>
                <w:kern w:val="0"/>
              </w:rPr>
            </w:pPr>
            <w:r>
              <w:rPr>
                <w:rFonts w:hint="eastAsia" w:ascii="宋体" w:hAnsi="宋体" w:cs="宋体"/>
                <w:kern w:val="0"/>
              </w:rPr>
              <w:t>30%</w:t>
            </w:r>
          </w:p>
        </w:tc>
        <w:tc>
          <w:tcPr>
            <w:tcW w:w="1134" w:type="dxa"/>
            <w:vMerge w:val="restart"/>
            <w:shd w:val="clear" w:color="auto" w:fill="auto"/>
            <w:noWrap/>
            <w:vAlign w:val="center"/>
          </w:tcPr>
          <w:p w14:paraId="2943D4CD">
            <w:pPr>
              <w:widowControl/>
              <w:jc w:val="center"/>
              <w:rPr>
                <w:rFonts w:ascii="宋体" w:hAnsi="宋体" w:cs="宋体"/>
                <w:kern w:val="0"/>
              </w:rPr>
            </w:pPr>
            <w:r>
              <w:rPr>
                <w:rFonts w:hint="eastAsia" w:ascii="宋体" w:hAnsi="宋体" w:cs="宋体"/>
                <w:kern w:val="0"/>
              </w:rPr>
              <w:t>资金管理</w:t>
            </w:r>
          </w:p>
        </w:tc>
        <w:tc>
          <w:tcPr>
            <w:tcW w:w="850" w:type="dxa"/>
            <w:vMerge w:val="restart"/>
            <w:shd w:val="clear" w:color="auto" w:fill="auto"/>
            <w:noWrap/>
            <w:vAlign w:val="center"/>
          </w:tcPr>
          <w:p w14:paraId="7ACAAAAE">
            <w:pPr>
              <w:widowControl/>
              <w:jc w:val="center"/>
              <w:rPr>
                <w:rFonts w:ascii="宋体" w:hAnsi="宋体" w:cs="宋体"/>
                <w:kern w:val="0"/>
              </w:rPr>
            </w:pPr>
            <w:r>
              <w:rPr>
                <w:rFonts w:hint="eastAsia" w:ascii="宋体" w:hAnsi="宋体" w:cs="宋体"/>
                <w:kern w:val="0"/>
              </w:rPr>
              <w:t>33.30%</w:t>
            </w:r>
          </w:p>
        </w:tc>
        <w:tc>
          <w:tcPr>
            <w:tcW w:w="1418" w:type="dxa"/>
            <w:shd w:val="clear" w:color="auto" w:fill="auto"/>
            <w:noWrap/>
            <w:vAlign w:val="center"/>
          </w:tcPr>
          <w:p w14:paraId="72CBA5CC">
            <w:pPr>
              <w:widowControl/>
              <w:jc w:val="center"/>
              <w:rPr>
                <w:rFonts w:ascii="宋体" w:hAnsi="宋体" w:cs="宋体"/>
                <w:color w:val="000000"/>
                <w:kern w:val="0"/>
              </w:rPr>
            </w:pPr>
            <w:r>
              <w:rPr>
                <w:rFonts w:hint="eastAsia" w:ascii="宋体" w:hAnsi="宋体" w:cs="宋体"/>
                <w:color w:val="000000"/>
                <w:kern w:val="0"/>
              </w:rPr>
              <w:t>资金使用合规性</w:t>
            </w:r>
          </w:p>
        </w:tc>
        <w:tc>
          <w:tcPr>
            <w:tcW w:w="850" w:type="dxa"/>
            <w:shd w:val="clear" w:color="auto" w:fill="auto"/>
            <w:noWrap/>
            <w:vAlign w:val="center"/>
          </w:tcPr>
          <w:p w14:paraId="1B02E79D">
            <w:pPr>
              <w:widowControl/>
              <w:jc w:val="center"/>
              <w:rPr>
                <w:rFonts w:ascii="宋体" w:hAnsi="宋体" w:cs="宋体"/>
                <w:color w:val="000000"/>
                <w:kern w:val="0"/>
              </w:rPr>
            </w:pPr>
            <w:r>
              <w:rPr>
                <w:rFonts w:hint="eastAsia" w:ascii="宋体" w:hAnsi="宋体" w:cs="宋体"/>
                <w:color w:val="000000"/>
                <w:kern w:val="0"/>
              </w:rPr>
              <w:t>50%</w:t>
            </w:r>
          </w:p>
        </w:tc>
        <w:tc>
          <w:tcPr>
            <w:tcW w:w="3119" w:type="dxa"/>
            <w:shd w:val="clear" w:color="auto" w:fill="auto"/>
            <w:vAlign w:val="center"/>
          </w:tcPr>
          <w:p w14:paraId="69C0F5E5">
            <w:pPr>
              <w:widowControl/>
              <w:jc w:val="left"/>
              <w:rPr>
                <w:rFonts w:ascii="宋体" w:hAnsi="宋体" w:cs="宋体"/>
                <w:color w:val="000000"/>
                <w:kern w:val="0"/>
              </w:rPr>
            </w:pPr>
            <w:r>
              <w:rPr>
                <w:rFonts w:hint="eastAsia" w:ascii="宋体" w:hAnsi="宋体" w:cs="宋体"/>
                <w:color w:val="000000"/>
                <w:kern w:val="0"/>
              </w:rPr>
              <w:t>反映项目债券资金用途是否合规。</w:t>
            </w:r>
          </w:p>
        </w:tc>
        <w:tc>
          <w:tcPr>
            <w:tcW w:w="3543" w:type="dxa"/>
            <w:shd w:val="clear" w:color="auto" w:fill="auto"/>
            <w:vAlign w:val="center"/>
          </w:tcPr>
          <w:p w14:paraId="6F4B0701">
            <w:pPr>
              <w:rPr>
                <w:rFonts w:ascii="宋体" w:hAnsi="宋体" w:cs="宋体"/>
                <w:color w:val="000000"/>
              </w:rPr>
            </w:pPr>
            <w:r>
              <w:rPr>
                <w:rFonts w:hint="eastAsia"/>
                <w:color w:val="000000"/>
              </w:rPr>
              <w:t>①专项债券资金按规定用途使用情况，是否实行“专款专用”；②债券资金使用是否符合专项债券资金管理要求；③涉及债券资金用途调整的是否按规定履行调整报批手续。</w:t>
            </w:r>
          </w:p>
        </w:tc>
        <w:tc>
          <w:tcPr>
            <w:tcW w:w="1080" w:type="dxa"/>
            <w:shd w:val="clear" w:color="auto" w:fill="auto"/>
            <w:noWrap/>
            <w:vAlign w:val="center"/>
          </w:tcPr>
          <w:p w14:paraId="5AED581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77" w:type="dxa"/>
            <w:vAlign w:val="center"/>
          </w:tcPr>
          <w:p w14:paraId="3E38E20D">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14:paraId="4D3B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0" w:type="dxa"/>
            <w:vMerge w:val="continue"/>
            <w:vAlign w:val="center"/>
          </w:tcPr>
          <w:p w14:paraId="6017048F">
            <w:pPr>
              <w:widowControl/>
              <w:jc w:val="left"/>
              <w:rPr>
                <w:rFonts w:ascii="宋体" w:hAnsi="宋体" w:cs="宋体"/>
                <w:kern w:val="0"/>
              </w:rPr>
            </w:pPr>
          </w:p>
        </w:tc>
        <w:tc>
          <w:tcPr>
            <w:tcW w:w="712" w:type="dxa"/>
            <w:vMerge w:val="continue"/>
            <w:vAlign w:val="center"/>
          </w:tcPr>
          <w:p w14:paraId="582CEF8C">
            <w:pPr>
              <w:widowControl/>
              <w:jc w:val="left"/>
              <w:rPr>
                <w:rFonts w:ascii="宋体" w:hAnsi="宋体" w:cs="宋体"/>
                <w:kern w:val="0"/>
              </w:rPr>
            </w:pPr>
          </w:p>
        </w:tc>
        <w:tc>
          <w:tcPr>
            <w:tcW w:w="1134" w:type="dxa"/>
            <w:vMerge w:val="continue"/>
            <w:vAlign w:val="center"/>
          </w:tcPr>
          <w:p w14:paraId="58C3EFF6">
            <w:pPr>
              <w:widowControl/>
              <w:jc w:val="left"/>
              <w:rPr>
                <w:rFonts w:ascii="宋体" w:hAnsi="宋体" w:cs="宋体"/>
                <w:kern w:val="0"/>
              </w:rPr>
            </w:pPr>
          </w:p>
        </w:tc>
        <w:tc>
          <w:tcPr>
            <w:tcW w:w="850" w:type="dxa"/>
            <w:vMerge w:val="continue"/>
            <w:vAlign w:val="center"/>
          </w:tcPr>
          <w:p w14:paraId="7C9EE3AD">
            <w:pPr>
              <w:widowControl/>
              <w:jc w:val="left"/>
              <w:rPr>
                <w:rFonts w:ascii="宋体" w:hAnsi="宋体" w:cs="宋体"/>
                <w:kern w:val="0"/>
              </w:rPr>
            </w:pPr>
          </w:p>
        </w:tc>
        <w:tc>
          <w:tcPr>
            <w:tcW w:w="1418" w:type="dxa"/>
            <w:shd w:val="clear" w:color="auto" w:fill="auto"/>
            <w:noWrap/>
            <w:vAlign w:val="center"/>
          </w:tcPr>
          <w:p w14:paraId="2A7A37C6">
            <w:pPr>
              <w:widowControl/>
              <w:jc w:val="center"/>
              <w:rPr>
                <w:rFonts w:ascii="宋体" w:hAnsi="宋体" w:cs="宋体"/>
                <w:color w:val="000000"/>
                <w:kern w:val="0"/>
              </w:rPr>
            </w:pPr>
            <w:r>
              <w:rPr>
                <w:rFonts w:hint="eastAsia" w:ascii="宋体" w:hAnsi="宋体" w:cs="宋体"/>
                <w:color w:val="000000"/>
                <w:kern w:val="0"/>
              </w:rPr>
              <w:t>资金使用进度</w:t>
            </w:r>
          </w:p>
        </w:tc>
        <w:tc>
          <w:tcPr>
            <w:tcW w:w="850" w:type="dxa"/>
            <w:shd w:val="clear" w:color="auto" w:fill="auto"/>
            <w:noWrap/>
            <w:vAlign w:val="center"/>
          </w:tcPr>
          <w:p w14:paraId="78A382C5">
            <w:pPr>
              <w:widowControl/>
              <w:jc w:val="center"/>
              <w:rPr>
                <w:rFonts w:ascii="宋体" w:hAnsi="宋体" w:cs="宋体"/>
                <w:color w:val="000000"/>
                <w:kern w:val="0"/>
              </w:rPr>
            </w:pPr>
            <w:r>
              <w:rPr>
                <w:rFonts w:hint="eastAsia" w:ascii="宋体" w:hAnsi="宋体" w:cs="宋体"/>
                <w:color w:val="000000"/>
                <w:kern w:val="0"/>
              </w:rPr>
              <w:t>50%</w:t>
            </w:r>
          </w:p>
        </w:tc>
        <w:tc>
          <w:tcPr>
            <w:tcW w:w="3119" w:type="dxa"/>
            <w:shd w:val="clear" w:color="auto" w:fill="auto"/>
            <w:vAlign w:val="center"/>
          </w:tcPr>
          <w:p w14:paraId="69571C98">
            <w:pPr>
              <w:widowControl/>
              <w:jc w:val="left"/>
              <w:rPr>
                <w:rFonts w:ascii="宋体" w:hAnsi="宋体" w:cs="宋体"/>
                <w:color w:val="000000"/>
                <w:kern w:val="0"/>
              </w:rPr>
            </w:pPr>
            <w:r>
              <w:rPr>
                <w:rFonts w:hint="eastAsia" w:ascii="宋体" w:hAnsi="宋体" w:cs="宋体"/>
                <w:color w:val="000000"/>
                <w:kern w:val="0"/>
              </w:rPr>
              <w:t>反映债券资金支出使用进度情况。</w:t>
            </w:r>
          </w:p>
        </w:tc>
        <w:tc>
          <w:tcPr>
            <w:tcW w:w="3543" w:type="dxa"/>
            <w:shd w:val="clear" w:color="auto" w:fill="auto"/>
            <w:vAlign w:val="center"/>
          </w:tcPr>
          <w:p w14:paraId="497702D7">
            <w:pPr>
              <w:rPr>
                <w:color w:val="000000"/>
              </w:rPr>
            </w:pPr>
            <w:r>
              <w:rPr>
                <w:rFonts w:hint="eastAsia"/>
                <w:color w:val="000000"/>
              </w:rPr>
              <w:t>根据债券资金总体支出进度=（当年实际支出金额/项目当年下达额度）×100%，评价项目债券资金支出使用进度，同时综合考虑影响支出使用进度的因素。</w:t>
            </w:r>
          </w:p>
          <w:p w14:paraId="14465275">
            <w:pPr>
              <w:pStyle w:val="13"/>
            </w:pPr>
          </w:p>
        </w:tc>
        <w:tc>
          <w:tcPr>
            <w:tcW w:w="1080" w:type="dxa"/>
            <w:shd w:val="clear" w:color="auto" w:fill="auto"/>
            <w:noWrap/>
            <w:vAlign w:val="center"/>
          </w:tcPr>
          <w:p w14:paraId="6413080E">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77" w:type="dxa"/>
            <w:vAlign w:val="center"/>
          </w:tcPr>
          <w:p w14:paraId="7B3F89D3">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14:paraId="7579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vMerge w:val="continue"/>
            <w:vAlign w:val="center"/>
          </w:tcPr>
          <w:p w14:paraId="524E929B">
            <w:pPr>
              <w:widowControl/>
              <w:jc w:val="left"/>
              <w:rPr>
                <w:rFonts w:ascii="宋体" w:hAnsi="宋体" w:cs="宋体"/>
                <w:kern w:val="0"/>
              </w:rPr>
            </w:pPr>
          </w:p>
        </w:tc>
        <w:tc>
          <w:tcPr>
            <w:tcW w:w="712" w:type="dxa"/>
            <w:vMerge w:val="continue"/>
            <w:vAlign w:val="center"/>
          </w:tcPr>
          <w:p w14:paraId="55615C4A">
            <w:pPr>
              <w:widowControl/>
              <w:jc w:val="left"/>
              <w:rPr>
                <w:rFonts w:ascii="宋体" w:hAnsi="宋体" w:cs="宋体"/>
                <w:kern w:val="0"/>
              </w:rPr>
            </w:pPr>
          </w:p>
        </w:tc>
        <w:tc>
          <w:tcPr>
            <w:tcW w:w="1134" w:type="dxa"/>
            <w:shd w:val="clear" w:color="auto" w:fill="auto"/>
            <w:noWrap/>
            <w:vAlign w:val="center"/>
          </w:tcPr>
          <w:p w14:paraId="6EE98969">
            <w:pPr>
              <w:widowControl/>
              <w:jc w:val="center"/>
              <w:rPr>
                <w:rFonts w:ascii="宋体" w:hAnsi="宋体" w:cs="宋体"/>
                <w:color w:val="000000"/>
                <w:kern w:val="0"/>
              </w:rPr>
            </w:pPr>
            <w:r>
              <w:rPr>
                <w:rFonts w:hint="eastAsia" w:ascii="宋体" w:hAnsi="宋体" w:cs="宋体"/>
                <w:color w:val="000000"/>
                <w:kern w:val="0"/>
              </w:rPr>
              <w:t>资产管理</w:t>
            </w:r>
          </w:p>
        </w:tc>
        <w:tc>
          <w:tcPr>
            <w:tcW w:w="850" w:type="dxa"/>
            <w:shd w:val="clear" w:color="auto" w:fill="auto"/>
            <w:noWrap/>
            <w:vAlign w:val="center"/>
          </w:tcPr>
          <w:p w14:paraId="1EF2A8E7">
            <w:pPr>
              <w:widowControl/>
              <w:jc w:val="center"/>
              <w:rPr>
                <w:rFonts w:ascii="宋体" w:hAnsi="宋体" w:cs="宋体"/>
                <w:color w:val="000000"/>
                <w:kern w:val="0"/>
              </w:rPr>
            </w:pPr>
            <w:r>
              <w:rPr>
                <w:rFonts w:hint="eastAsia" w:ascii="宋体" w:hAnsi="宋体" w:cs="宋体"/>
                <w:color w:val="000000"/>
                <w:kern w:val="0"/>
              </w:rPr>
              <w:t>16.70%</w:t>
            </w:r>
          </w:p>
        </w:tc>
        <w:tc>
          <w:tcPr>
            <w:tcW w:w="1418" w:type="dxa"/>
            <w:shd w:val="clear" w:color="auto" w:fill="auto"/>
            <w:noWrap/>
            <w:vAlign w:val="center"/>
          </w:tcPr>
          <w:p w14:paraId="023A0773">
            <w:pPr>
              <w:widowControl/>
              <w:jc w:val="center"/>
              <w:rPr>
                <w:rFonts w:ascii="宋体" w:hAnsi="宋体" w:cs="宋体"/>
                <w:color w:val="000000"/>
                <w:kern w:val="0"/>
              </w:rPr>
            </w:pPr>
            <w:r>
              <w:rPr>
                <w:rFonts w:hint="eastAsia" w:ascii="宋体" w:hAnsi="宋体" w:cs="宋体"/>
                <w:color w:val="000000"/>
                <w:kern w:val="0"/>
              </w:rPr>
              <w:t>资产管理规范性</w:t>
            </w:r>
          </w:p>
        </w:tc>
        <w:tc>
          <w:tcPr>
            <w:tcW w:w="850" w:type="dxa"/>
            <w:shd w:val="clear" w:color="auto" w:fill="auto"/>
            <w:noWrap/>
            <w:vAlign w:val="center"/>
          </w:tcPr>
          <w:p w14:paraId="274E4754">
            <w:pPr>
              <w:widowControl/>
              <w:jc w:val="center"/>
              <w:rPr>
                <w:rFonts w:ascii="宋体" w:hAnsi="宋体" w:cs="宋体"/>
                <w:kern w:val="0"/>
              </w:rPr>
            </w:pPr>
            <w:r>
              <w:rPr>
                <w:rFonts w:hint="eastAsia" w:ascii="宋体" w:hAnsi="宋体" w:cs="宋体"/>
                <w:kern w:val="0"/>
              </w:rPr>
              <w:t>100%</w:t>
            </w:r>
          </w:p>
        </w:tc>
        <w:tc>
          <w:tcPr>
            <w:tcW w:w="3119" w:type="dxa"/>
            <w:shd w:val="clear" w:color="auto" w:fill="auto"/>
            <w:vAlign w:val="center"/>
          </w:tcPr>
          <w:p w14:paraId="533ACA97">
            <w:pPr>
              <w:widowControl/>
              <w:jc w:val="left"/>
              <w:rPr>
                <w:rFonts w:ascii="宋体" w:hAnsi="宋体" w:cs="宋体"/>
                <w:color w:val="000000"/>
                <w:kern w:val="0"/>
              </w:rPr>
            </w:pPr>
            <w:r>
              <w:rPr>
                <w:rFonts w:hint="eastAsia" w:ascii="宋体" w:hAnsi="宋体" w:cs="宋体"/>
                <w:color w:val="000000"/>
                <w:kern w:val="0"/>
              </w:rPr>
              <w:t>反映项目竣工后资产管理是否规范。</w:t>
            </w:r>
          </w:p>
        </w:tc>
        <w:tc>
          <w:tcPr>
            <w:tcW w:w="3543" w:type="dxa"/>
            <w:shd w:val="clear" w:color="auto" w:fill="auto"/>
            <w:vAlign w:val="center"/>
          </w:tcPr>
          <w:p w14:paraId="7704961F">
            <w:pPr>
              <w:ind w:left="-250" w:leftChars="-119" w:firstLine="249" w:firstLineChars="119"/>
              <w:rPr>
                <w:color w:val="000000"/>
              </w:rPr>
            </w:pPr>
            <w:r>
              <w:rPr>
                <w:rFonts w:hint="eastAsia"/>
                <w:color w:val="000000"/>
              </w:rPr>
              <w:t>项目竣工后资产备案和产权登记等</w:t>
            </w:r>
          </w:p>
          <w:p w14:paraId="24D5A3B4">
            <w:pPr>
              <w:ind w:left="-250" w:leftChars="-119" w:firstLine="249" w:firstLineChars="119"/>
              <w:rPr>
                <w:rFonts w:ascii="宋体" w:hAnsi="宋体" w:cs="宋体"/>
                <w:color w:val="000000"/>
              </w:rPr>
            </w:pPr>
            <w:r>
              <w:rPr>
                <w:rFonts w:hint="eastAsia"/>
                <w:color w:val="000000"/>
              </w:rPr>
              <w:t>情况。</w:t>
            </w:r>
          </w:p>
        </w:tc>
        <w:tc>
          <w:tcPr>
            <w:tcW w:w="1080" w:type="dxa"/>
            <w:shd w:val="clear" w:color="auto" w:fill="auto"/>
            <w:noWrap/>
            <w:vAlign w:val="center"/>
          </w:tcPr>
          <w:p w14:paraId="0F7DEE5C">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77" w:type="dxa"/>
            <w:vAlign w:val="center"/>
          </w:tcPr>
          <w:p w14:paraId="4FC15D16">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F51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vMerge w:val="continue"/>
            <w:vAlign w:val="center"/>
          </w:tcPr>
          <w:p w14:paraId="6417B3FD">
            <w:pPr>
              <w:widowControl/>
              <w:jc w:val="left"/>
              <w:rPr>
                <w:rFonts w:ascii="宋体" w:hAnsi="宋体" w:cs="宋体"/>
                <w:kern w:val="0"/>
              </w:rPr>
            </w:pPr>
          </w:p>
        </w:tc>
        <w:tc>
          <w:tcPr>
            <w:tcW w:w="712" w:type="dxa"/>
            <w:vMerge w:val="continue"/>
            <w:vAlign w:val="center"/>
          </w:tcPr>
          <w:p w14:paraId="63EE28BC">
            <w:pPr>
              <w:widowControl/>
              <w:jc w:val="left"/>
              <w:rPr>
                <w:rFonts w:ascii="宋体" w:hAnsi="宋体" w:cs="宋体"/>
                <w:kern w:val="0"/>
              </w:rPr>
            </w:pPr>
          </w:p>
        </w:tc>
        <w:tc>
          <w:tcPr>
            <w:tcW w:w="1134" w:type="dxa"/>
            <w:vMerge w:val="restart"/>
            <w:shd w:val="clear" w:color="auto" w:fill="auto"/>
            <w:noWrap/>
            <w:vAlign w:val="center"/>
          </w:tcPr>
          <w:p w14:paraId="6E4A0269">
            <w:pPr>
              <w:widowControl/>
              <w:jc w:val="center"/>
              <w:rPr>
                <w:rFonts w:ascii="宋体" w:hAnsi="宋体" w:cs="宋体"/>
                <w:kern w:val="0"/>
              </w:rPr>
            </w:pPr>
            <w:r>
              <w:rPr>
                <w:rFonts w:hint="eastAsia" w:ascii="宋体" w:hAnsi="宋体" w:cs="宋体"/>
                <w:kern w:val="0"/>
              </w:rPr>
              <w:t>偿债风险防控</w:t>
            </w:r>
          </w:p>
        </w:tc>
        <w:tc>
          <w:tcPr>
            <w:tcW w:w="850" w:type="dxa"/>
            <w:vMerge w:val="restart"/>
            <w:shd w:val="clear" w:color="auto" w:fill="auto"/>
            <w:noWrap/>
            <w:vAlign w:val="center"/>
          </w:tcPr>
          <w:p w14:paraId="138E8F92">
            <w:pPr>
              <w:widowControl/>
              <w:jc w:val="center"/>
              <w:rPr>
                <w:rFonts w:ascii="宋体" w:hAnsi="宋体" w:cs="宋体"/>
                <w:kern w:val="0"/>
              </w:rPr>
            </w:pPr>
            <w:r>
              <w:rPr>
                <w:rFonts w:hint="eastAsia" w:ascii="宋体" w:hAnsi="宋体" w:cs="宋体"/>
                <w:kern w:val="0"/>
              </w:rPr>
              <w:t>33.30%</w:t>
            </w:r>
          </w:p>
        </w:tc>
        <w:tc>
          <w:tcPr>
            <w:tcW w:w="1418" w:type="dxa"/>
            <w:shd w:val="clear" w:color="auto" w:fill="auto"/>
            <w:noWrap/>
            <w:vAlign w:val="center"/>
          </w:tcPr>
          <w:p w14:paraId="2EECC08C">
            <w:pPr>
              <w:widowControl/>
              <w:jc w:val="center"/>
              <w:rPr>
                <w:rFonts w:ascii="宋体" w:hAnsi="宋体" w:cs="宋体"/>
                <w:color w:val="000000"/>
                <w:kern w:val="0"/>
              </w:rPr>
            </w:pPr>
            <w:r>
              <w:rPr>
                <w:rFonts w:hint="eastAsia" w:ascii="宋体" w:hAnsi="宋体" w:cs="宋体"/>
                <w:color w:val="000000"/>
                <w:kern w:val="0"/>
              </w:rPr>
              <w:t>还本付息</w:t>
            </w:r>
          </w:p>
        </w:tc>
        <w:tc>
          <w:tcPr>
            <w:tcW w:w="850" w:type="dxa"/>
            <w:shd w:val="clear" w:color="auto" w:fill="auto"/>
            <w:noWrap/>
            <w:vAlign w:val="center"/>
          </w:tcPr>
          <w:p w14:paraId="3FF3C4A6">
            <w:pPr>
              <w:widowControl/>
              <w:jc w:val="center"/>
              <w:rPr>
                <w:rFonts w:ascii="宋体" w:hAnsi="宋体" w:cs="宋体"/>
                <w:color w:val="000000"/>
                <w:kern w:val="0"/>
              </w:rPr>
            </w:pPr>
            <w:r>
              <w:rPr>
                <w:rFonts w:hint="eastAsia" w:ascii="宋体" w:hAnsi="宋体" w:cs="宋体"/>
                <w:color w:val="000000"/>
                <w:kern w:val="0"/>
              </w:rPr>
              <w:t>50%</w:t>
            </w:r>
          </w:p>
        </w:tc>
        <w:tc>
          <w:tcPr>
            <w:tcW w:w="3119" w:type="dxa"/>
            <w:shd w:val="clear" w:color="auto" w:fill="auto"/>
            <w:vAlign w:val="center"/>
          </w:tcPr>
          <w:p w14:paraId="6BC09747">
            <w:pPr>
              <w:widowControl/>
              <w:jc w:val="left"/>
              <w:rPr>
                <w:rFonts w:ascii="宋体" w:hAnsi="宋体" w:cs="宋体"/>
                <w:color w:val="000000"/>
                <w:kern w:val="0"/>
              </w:rPr>
            </w:pPr>
            <w:r>
              <w:rPr>
                <w:rFonts w:hint="eastAsia" w:ascii="宋体" w:hAnsi="宋体" w:cs="宋体"/>
                <w:color w:val="000000"/>
                <w:kern w:val="0"/>
              </w:rPr>
              <w:t>反映专项债券本息偿还情况。</w:t>
            </w:r>
          </w:p>
        </w:tc>
        <w:tc>
          <w:tcPr>
            <w:tcW w:w="3543" w:type="dxa"/>
            <w:shd w:val="clear" w:color="auto" w:fill="auto"/>
            <w:vAlign w:val="center"/>
          </w:tcPr>
          <w:p w14:paraId="2756476A">
            <w:pPr>
              <w:rPr>
                <w:rFonts w:ascii="宋体" w:hAnsi="宋体" w:cs="宋体"/>
                <w:color w:val="000000"/>
              </w:rPr>
            </w:pPr>
            <w:r>
              <w:rPr>
                <w:rFonts w:hint="eastAsia"/>
                <w:color w:val="000000"/>
              </w:rPr>
              <w:t>①是否制定专项债券本息偿还计划；②专项债券本息按偿还计划执行是否及时、是否足额偿还（未按偿还要求及时、足额偿还本息的不得分）。</w:t>
            </w:r>
          </w:p>
        </w:tc>
        <w:tc>
          <w:tcPr>
            <w:tcW w:w="1080" w:type="dxa"/>
            <w:shd w:val="clear" w:color="auto" w:fill="auto"/>
            <w:noWrap/>
            <w:vAlign w:val="center"/>
          </w:tcPr>
          <w:p w14:paraId="256AD579">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77" w:type="dxa"/>
            <w:vAlign w:val="center"/>
          </w:tcPr>
          <w:p w14:paraId="76382CB2">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14:paraId="6735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vMerge w:val="continue"/>
            <w:vAlign w:val="center"/>
          </w:tcPr>
          <w:p w14:paraId="0D580E7C">
            <w:pPr>
              <w:widowControl/>
              <w:jc w:val="left"/>
              <w:rPr>
                <w:rFonts w:ascii="宋体" w:hAnsi="宋体" w:cs="宋体"/>
                <w:kern w:val="0"/>
              </w:rPr>
            </w:pPr>
          </w:p>
        </w:tc>
        <w:tc>
          <w:tcPr>
            <w:tcW w:w="712" w:type="dxa"/>
            <w:vMerge w:val="continue"/>
            <w:vAlign w:val="center"/>
          </w:tcPr>
          <w:p w14:paraId="516E68F3">
            <w:pPr>
              <w:widowControl/>
              <w:jc w:val="left"/>
              <w:rPr>
                <w:rFonts w:ascii="宋体" w:hAnsi="宋体" w:cs="宋体"/>
                <w:kern w:val="0"/>
              </w:rPr>
            </w:pPr>
          </w:p>
        </w:tc>
        <w:tc>
          <w:tcPr>
            <w:tcW w:w="1134" w:type="dxa"/>
            <w:vMerge w:val="continue"/>
            <w:vAlign w:val="center"/>
          </w:tcPr>
          <w:p w14:paraId="7B5D5B0A">
            <w:pPr>
              <w:widowControl/>
              <w:jc w:val="left"/>
              <w:rPr>
                <w:rFonts w:ascii="宋体" w:hAnsi="宋体" w:cs="宋体"/>
                <w:kern w:val="0"/>
              </w:rPr>
            </w:pPr>
          </w:p>
        </w:tc>
        <w:tc>
          <w:tcPr>
            <w:tcW w:w="850" w:type="dxa"/>
            <w:vMerge w:val="continue"/>
            <w:vAlign w:val="center"/>
          </w:tcPr>
          <w:p w14:paraId="3A6EC4CB">
            <w:pPr>
              <w:widowControl/>
              <w:jc w:val="left"/>
              <w:rPr>
                <w:rFonts w:ascii="宋体" w:hAnsi="宋体" w:cs="宋体"/>
                <w:kern w:val="0"/>
              </w:rPr>
            </w:pPr>
          </w:p>
        </w:tc>
        <w:tc>
          <w:tcPr>
            <w:tcW w:w="1418" w:type="dxa"/>
            <w:shd w:val="clear" w:color="auto" w:fill="auto"/>
            <w:noWrap/>
            <w:vAlign w:val="center"/>
          </w:tcPr>
          <w:p w14:paraId="02AD29B9">
            <w:pPr>
              <w:widowControl/>
              <w:jc w:val="center"/>
              <w:rPr>
                <w:rFonts w:ascii="宋体" w:hAnsi="宋体" w:cs="宋体"/>
                <w:color w:val="000000"/>
                <w:kern w:val="0"/>
              </w:rPr>
            </w:pPr>
            <w:r>
              <w:rPr>
                <w:rFonts w:hint="eastAsia" w:ascii="宋体" w:hAnsi="宋体" w:cs="宋体"/>
                <w:color w:val="000000"/>
                <w:kern w:val="0"/>
              </w:rPr>
              <w:t>融资与收益平衡</w:t>
            </w:r>
          </w:p>
        </w:tc>
        <w:tc>
          <w:tcPr>
            <w:tcW w:w="850" w:type="dxa"/>
            <w:shd w:val="clear" w:color="auto" w:fill="auto"/>
            <w:noWrap/>
            <w:vAlign w:val="center"/>
          </w:tcPr>
          <w:p w14:paraId="7CAA6412">
            <w:pPr>
              <w:widowControl/>
              <w:jc w:val="center"/>
              <w:rPr>
                <w:rFonts w:ascii="宋体" w:hAnsi="宋体" w:cs="宋体"/>
                <w:color w:val="000000"/>
                <w:kern w:val="0"/>
              </w:rPr>
            </w:pPr>
            <w:r>
              <w:rPr>
                <w:rFonts w:hint="eastAsia" w:ascii="宋体" w:hAnsi="宋体" w:cs="宋体"/>
                <w:color w:val="000000"/>
                <w:kern w:val="0"/>
              </w:rPr>
              <w:t>50%</w:t>
            </w:r>
          </w:p>
        </w:tc>
        <w:tc>
          <w:tcPr>
            <w:tcW w:w="3119" w:type="dxa"/>
            <w:shd w:val="clear" w:color="auto" w:fill="auto"/>
            <w:vAlign w:val="center"/>
          </w:tcPr>
          <w:p w14:paraId="24F57423">
            <w:pPr>
              <w:widowControl/>
              <w:jc w:val="left"/>
              <w:rPr>
                <w:rFonts w:ascii="宋体" w:hAnsi="宋体" w:cs="宋体"/>
                <w:color w:val="000000"/>
                <w:kern w:val="0"/>
              </w:rPr>
            </w:pPr>
            <w:r>
              <w:rPr>
                <w:rFonts w:hint="eastAsia" w:ascii="宋体" w:hAnsi="宋体" w:cs="宋体"/>
                <w:color w:val="000000"/>
                <w:kern w:val="0"/>
              </w:rPr>
              <w:t>反映项目年度收支、全生命周期融资与收益是否能达到平衡。</w:t>
            </w:r>
          </w:p>
        </w:tc>
        <w:tc>
          <w:tcPr>
            <w:tcW w:w="3543" w:type="dxa"/>
            <w:shd w:val="clear" w:color="auto" w:fill="auto"/>
            <w:vAlign w:val="center"/>
          </w:tcPr>
          <w:p w14:paraId="1236D0C5">
            <w:pPr>
              <w:rPr>
                <w:rFonts w:ascii="宋体" w:hAnsi="宋体" w:cs="宋体"/>
                <w:color w:val="000000"/>
              </w:rPr>
            </w:pPr>
            <w:r>
              <w:rPr>
                <w:rFonts w:hint="eastAsia"/>
                <w:color w:val="000000"/>
              </w:rPr>
              <w:t>①每年末息前税后净现金流是否能覆盖当年还本付息资金；②项目全生命周期预期收益是否能覆盖融资还本付息规模（融资收益覆盖倍数越高则分值越高,项目全生命周期预期收益不能完全覆盖融资还本付息规模的不得分）。</w:t>
            </w:r>
          </w:p>
        </w:tc>
        <w:tc>
          <w:tcPr>
            <w:tcW w:w="1080" w:type="dxa"/>
            <w:shd w:val="clear" w:color="auto" w:fill="auto"/>
            <w:noWrap/>
            <w:vAlign w:val="center"/>
          </w:tcPr>
          <w:p w14:paraId="5AB2CBD4">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77" w:type="dxa"/>
            <w:vAlign w:val="center"/>
          </w:tcPr>
          <w:p w14:paraId="561995C0">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14:paraId="5243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vMerge w:val="continue"/>
            <w:vAlign w:val="center"/>
          </w:tcPr>
          <w:p w14:paraId="2AD87F77">
            <w:pPr>
              <w:widowControl/>
              <w:jc w:val="left"/>
              <w:rPr>
                <w:rFonts w:ascii="宋体" w:hAnsi="宋体" w:cs="宋体"/>
                <w:kern w:val="0"/>
              </w:rPr>
            </w:pPr>
          </w:p>
        </w:tc>
        <w:tc>
          <w:tcPr>
            <w:tcW w:w="712" w:type="dxa"/>
            <w:vMerge w:val="continue"/>
            <w:vAlign w:val="center"/>
          </w:tcPr>
          <w:p w14:paraId="458BFFC5">
            <w:pPr>
              <w:widowControl/>
              <w:jc w:val="left"/>
              <w:rPr>
                <w:rFonts w:ascii="宋体" w:hAnsi="宋体" w:cs="宋体"/>
                <w:kern w:val="0"/>
              </w:rPr>
            </w:pPr>
          </w:p>
        </w:tc>
        <w:tc>
          <w:tcPr>
            <w:tcW w:w="1134" w:type="dxa"/>
            <w:shd w:val="clear" w:color="auto" w:fill="auto"/>
            <w:vAlign w:val="center"/>
          </w:tcPr>
          <w:p w14:paraId="7A5F6151">
            <w:pPr>
              <w:widowControl/>
              <w:jc w:val="center"/>
              <w:rPr>
                <w:rFonts w:ascii="宋体" w:hAnsi="宋体" w:cs="宋体"/>
                <w:color w:val="000000"/>
                <w:kern w:val="0"/>
              </w:rPr>
            </w:pPr>
            <w:r>
              <w:rPr>
                <w:rFonts w:hint="eastAsia" w:ascii="宋体" w:hAnsi="宋体" w:cs="宋体"/>
                <w:color w:val="000000"/>
                <w:kern w:val="0"/>
              </w:rPr>
              <w:t>事务管理</w:t>
            </w:r>
          </w:p>
        </w:tc>
        <w:tc>
          <w:tcPr>
            <w:tcW w:w="850" w:type="dxa"/>
            <w:shd w:val="clear" w:color="auto" w:fill="auto"/>
            <w:noWrap/>
            <w:vAlign w:val="center"/>
          </w:tcPr>
          <w:p w14:paraId="0B069CF1">
            <w:pPr>
              <w:widowControl/>
              <w:jc w:val="center"/>
              <w:rPr>
                <w:rFonts w:ascii="宋体" w:hAnsi="宋体" w:cs="宋体"/>
                <w:color w:val="000000"/>
                <w:kern w:val="0"/>
              </w:rPr>
            </w:pPr>
            <w:r>
              <w:rPr>
                <w:rFonts w:hint="eastAsia" w:ascii="宋体" w:hAnsi="宋体" w:cs="宋体"/>
                <w:color w:val="000000"/>
                <w:kern w:val="0"/>
              </w:rPr>
              <w:t>16.70%</w:t>
            </w:r>
          </w:p>
        </w:tc>
        <w:tc>
          <w:tcPr>
            <w:tcW w:w="1418" w:type="dxa"/>
            <w:shd w:val="clear" w:color="auto" w:fill="auto"/>
            <w:noWrap/>
            <w:vAlign w:val="center"/>
          </w:tcPr>
          <w:p w14:paraId="469E6805">
            <w:pPr>
              <w:widowControl/>
              <w:jc w:val="center"/>
              <w:rPr>
                <w:rFonts w:ascii="宋体" w:hAnsi="宋体" w:cs="宋体"/>
                <w:color w:val="000000"/>
                <w:kern w:val="0"/>
              </w:rPr>
            </w:pPr>
            <w:r>
              <w:rPr>
                <w:rFonts w:hint="eastAsia" w:ascii="宋体" w:hAnsi="宋体" w:cs="宋体"/>
                <w:color w:val="000000"/>
                <w:kern w:val="0"/>
              </w:rPr>
              <w:t>信息化管理</w:t>
            </w:r>
          </w:p>
        </w:tc>
        <w:tc>
          <w:tcPr>
            <w:tcW w:w="850" w:type="dxa"/>
            <w:shd w:val="clear" w:color="auto" w:fill="auto"/>
            <w:noWrap/>
            <w:vAlign w:val="center"/>
          </w:tcPr>
          <w:p w14:paraId="1AC91FE6">
            <w:pPr>
              <w:widowControl/>
              <w:jc w:val="center"/>
              <w:rPr>
                <w:rFonts w:ascii="宋体" w:hAnsi="宋体" w:cs="宋体"/>
                <w:kern w:val="0"/>
              </w:rPr>
            </w:pPr>
            <w:r>
              <w:rPr>
                <w:rFonts w:hint="eastAsia" w:ascii="宋体" w:hAnsi="宋体" w:cs="宋体"/>
                <w:kern w:val="0"/>
              </w:rPr>
              <w:t>100%</w:t>
            </w:r>
          </w:p>
        </w:tc>
        <w:tc>
          <w:tcPr>
            <w:tcW w:w="3119" w:type="dxa"/>
            <w:shd w:val="clear" w:color="auto" w:fill="auto"/>
            <w:vAlign w:val="center"/>
          </w:tcPr>
          <w:p w14:paraId="77EE3D0D">
            <w:pPr>
              <w:widowControl/>
              <w:jc w:val="left"/>
              <w:rPr>
                <w:rFonts w:ascii="宋体" w:hAnsi="宋体" w:cs="宋体"/>
                <w:color w:val="000000"/>
                <w:kern w:val="0"/>
              </w:rPr>
            </w:pPr>
            <w:r>
              <w:rPr>
                <w:rFonts w:hint="eastAsia" w:ascii="宋体" w:hAnsi="宋体" w:cs="宋体"/>
                <w:color w:val="000000"/>
                <w:kern w:val="0"/>
              </w:rPr>
              <w:t>反映使用信息化系统的情况。</w:t>
            </w:r>
          </w:p>
        </w:tc>
        <w:tc>
          <w:tcPr>
            <w:tcW w:w="3543" w:type="dxa"/>
            <w:shd w:val="clear" w:color="auto" w:fill="auto"/>
            <w:vAlign w:val="center"/>
          </w:tcPr>
          <w:p w14:paraId="484A83F7">
            <w:pPr>
              <w:rPr>
                <w:rFonts w:ascii="宋体" w:hAnsi="宋体" w:cs="宋体"/>
                <w:color w:val="000000"/>
              </w:rPr>
            </w:pPr>
            <w:r>
              <w:rPr>
                <w:rFonts w:hint="eastAsia"/>
                <w:color w:val="000000"/>
              </w:rPr>
              <w:t>①填录信息化系统的及时性； ②填录信息化系统的准确性；③信息化系统的其他管理使用情况。</w:t>
            </w:r>
          </w:p>
        </w:tc>
        <w:tc>
          <w:tcPr>
            <w:tcW w:w="1080" w:type="dxa"/>
            <w:shd w:val="clear" w:color="auto" w:fill="auto"/>
            <w:noWrap/>
            <w:vAlign w:val="center"/>
          </w:tcPr>
          <w:p w14:paraId="620B7A1F">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77" w:type="dxa"/>
            <w:vAlign w:val="center"/>
          </w:tcPr>
          <w:p w14:paraId="263FFAE0">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14:paraId="270C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10" w:type="dxa"/>
            <w:vMerge w:val="restart"/>
            <w:shd w:val="clear" w:color="auto" w:fill="auto"/>
            <w:noWrap/>
            <w:vAlign w:val="center"/>
          </w:tcPr>
          <w:p w14:paraId="0A6AEC72">
            <w:pPr>
              <w:widowControl/>
              <w:jc w:val="center"/>
              <w:rPr>
                <w:rFonts w:ascii="宋体" w:hAnsi="宋体" w:cs="宋体"/>
                <w:kern w:val="0"/>
              </w:rPr>
            </w:pPr>
            <w:r>
              <w:rPr>
                <w:rFonts w:hint="eastAsia" w:ascii="宋体" w:hAnsi="宋体" w:cs="宋体"/>
                <w:kern w:val="0"/>
              </w:rPr>
              <w:t>产出（</w:t>
            </w:r>
            <w:r>
              <w:rPr>
                <w:rFonts w:hint="eastAsia" w:ascii="宋体" w:hAnsi="宋体" w:cs="宋体"/>
                <w:kern w:val="0"/>
                <w:lang w:val="en-US" w:eastAsia="zh-CN"/>
              </w:rPr>
              <w:t>40</w:t>
            </w:r>
            <w:r>
              <w:rPr>
                <w:rFonts w:hint="eastAsia" w:ascii="宋体" w:hAnsi="宋体" w:cs="宋体"/>
                <w:kern w:val="0"/>
              </w:rPr>
              <w:t>分）</w:t>
            </w:r>
          </w:p>
        </w:tc>
        <w:tc>
          <w:tcPr>
            <w:tcW w:w="712" w:type="dxa"/>
            <w:vMerge w:val="restart"/>
            <w:shd w:val="clear" w:color="auto" w:fill="auto"/>
            <w:noWrap/>
            <w:vAlign w:val="center"/>
          </w:tcPr>
          <w:p w14:paraId="095C9887">
            <w:pPr>
              <w:widowControl/>
              <w:jc w:val="center"/>
              <w:rPr>
                <w:rFonts w:ascii="宋体" w:hAnsi="宋体" w:cs="宋体"/>
                <w:kern w:val="0"/>
              </w:rPr>
            </w:pPr>
            <w:r>
              <w:rPr>
                <w:rFonts w:hint="eastAsia" w:ascii="宋体" w:hAnsi="宋体" w:cs="宋体"/>
                <w:kern w:val="0"/>
                <w:lang w:val="en-US" w:eastAsia="zh-CN"/>
              </w:rPr>
              <w:t>40</w:t>
            </w:r>
            <w:r>
              <w:rPr>
                <w:rFonts w:hint="eastAsia" w:ascii="宋体" w:hAnsi="宋体" w:cs="宋体"/>
                <w:kern w:val="0"/>
              </w:rPr>
              <w:t>%</w:t>
            </w:r>
          </w:p>
        </w:tc>
        <w:tc>
          <w:tcPr>
            <w:tcW w:w="1134" w:type="dxa"/>
            <w:shd w:val="clear" w:color="auto" w:fill="auto"/>
            <w:noWrap/>
            <w:vAlign w:val="center"/>
          </w:tcPr>
          <w:p w14:paraId="326BCEC1">
            <w:pPr>
              <w:widowControl/>
              <w:jc w:val="center"/>
              <w:rPr>
                <w:rFonts w:ascii="宋体" w:hAnsi="宋体" w:cs="宋体"/>
                <w:color w:val="000000"/>
                <w:kern w:val="0"/>
              </w:rPr>
            </w:pPr>
            <w:r>
              <w:rPr>
                <w:rFonts w:hint="eastAsia" w:ascii="宋体" w:hAnsi="宋体" w:cs="宋体"/>
                <w:color w:val="000000"/>
                <w:kern w:val="0"/>
              </w:rPr>
              <w:t>产出数量</w:t>
            </w:r>
          </w:p>
        </w:tc>
        <w:tc>
          <w:tcPr>
            <w:tcW w:w="850" w:type="dxa"/>
            <w:shd w:val="clear" w:color="auto" w:fill="auto"/>
            <w:vAlign w:val="center"/>
          </w:tcPr>
          <w:p w14:paraId="43123B86">
            <w:pPr>
              <w:widowControl/>
              <w:jc w:val="center"/>
              <w:rPr>
                <w:rFonts w:ascii="宋体" w:hAnsi="宋体" w:cs="宋体"/>
                <w:color w:val="000000"/>
                <w:kern w:val="0"/>
              </w:rPr>
            </w:pPr>
            <w:r>
              <w:rPr>
                <w:rFonts w:hint="eastAsia" w:ascii="宋体" w:hAnsi="宋体" w:cs="宋体"/>
                <w:color w:val="000000"/>
                <w:kern w:val="0"/>
              </w:rPr>
              <w:t>25%</w:t>
            </w:r>
          </w:p>
        </w:tc>
        <w:tc>
          <w:tcPr>
            <w:tcW w:w="1418" w:type="dxa"/>
            <w:shd w:val="clear" w:color="auto" w:fill="auto"/>
            <w:noWrap/>
            <w:vAlign w:val="center"/>
          </w:tcPr>
          <w:p w14:paraId="64D58C17">
            <w:pPr>
              <w:widowControl/>
              <w:jc w:val="center"/>
              <w:rPr>
                <w:rFonts w:ascii="宋体" w:hAnsi="宋体" w:cs="宋体"/>
                <w:color w:val="000000"/>
                <w:kern w:val="0"/>
              </w:rPr>
            </w:pPr>
            <w:r>
              <w:rPr>
                <w:rFonts w:hint="eastAsia" w:ascii="宋体" w:hAnsi="宋体" w:cs="宋体"/>
                <w:color w:val="000000"/>
                <w:kern w:val="0"/>
              </w:rPr>
              <w:t>实际完成率</w:t>
            </w:r>
          </w:p>
        </w:tc>
        <w:tc>
          <w:tcPr>
            <w:tcW w:w="850" w:type="dxa"/>
            <w:shd w:val="clear" w:color="auto" w:fill="auto"/>
            <w:noWrap/>
            <w:vAlign w:val="center"/>
          </w:tcPr>
          <w:p w14:paraId="112D2E71">
            <w:pPr>
              <w:widowControl/>
              <w:jc w:val="center"/>
              <w:rPr>
                <w:rFonts w:ascii="宋体" w:hAnsi="宋体" w:cs="宋体"/>
                <w:kern w:val="0"/>
              </w:rPr>
            </w:pPr>
            <w:r>
              <w:rPr>
                <w:rFonts w:hint="eastAsia" w:ascii="宋体" w:hAnsi="宋体" w:cs="宋体"/>
                <w:kern w:val="0"/>
              </w:rPr>
              <w:t>100%</w:t>
            </w:r>
          </w:p>
        </w:tc>
        <w:tc>
          <w:tcPr>
            <w:tcW w:w="3119" w:type="dxa"/>
            <w:shd w:val="clear" w:color="auto" w:fill="auto"/>
            <w:vAlign w:val="center"/>
          </w:tcPr>
          <w:p w14:paraId="34C51872">
            <w:pPr>
              <w:widowControl/>
              <w:jc w:val="left"/>
              <w:rPr>
                <w:rFonts w:ascii="宋体" w:hAnsi="宋体" w:cs="宋体"/>
                <w:kern w:val="0"/>
              </w:rPr>
            </w:pPr>
            <w:r>
              <w:rPr>
                <w:rFonts w:hint="eastAsia" w:ascii="宋体" w:hAnsi="宋体" w:cs="宋体"/>
                <w:kern w:val="0"/>
              </w:rPr>
              <w:t>项目实施的实际产出数与计划产出数的比率，用以反映项目产出数量目标的实现程度，包括项目建成后提供公共产品和服务、资产等情况。</w:t>
            </w:r>
          </w:p>
        </w:tc>
        <w:tc>
          <w:tcPr>
            <w:tcW w:w="3543" w:type="dxa"/>
            <w:shd w:val="clear" w:color="auto" w:fill="auto"/>
            <w:vAlign w:val="center"/>
          </w:tcPr>
          <w:p w14:paraId="30258CD1">
            <w:pPr>
              <w:rPr>
                <w:rFonts w:ascii="宋体" w:hAnsi="宋体" w:cs="宋体"/>
                <w:color w:val="000000"/>
              </w:rPr>
            </w:pPr>
            <w:r>
              <w:rPr>
                <w:rFonts w:hint="eastAsia"/>
                <w:color w:val="000000"/>
              </w:rPr>
              <w:t>实际完成率=（实际产出数/计划产出数）×100%。</w:t>
            </w:r>
          </w:p>
        </w:tc>
        <w:tc>
          <w:tcPr>
            <w:tcW w:w="1080" w:type="dxa"/>
            <w:shd w:val="clear" w:color="auto" w:fill="auto"/>
            <w:noWrap/>
            <w:vAlign w:val="center"/>
          </w:tcPr>
          <w:p w14:paraId="740AA06D">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77" w:type="dxa"/>
            <w:vAlign w:val="center"/>
          </w:tcPr>
          <w:p w14:paraId="702B4C39">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41C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10" w:type="dxa"/>
            <w:vMerge w:val="continue"/>
            <w:vAlign w:val="center"/>
          </w:tcPr>
          <w:p w14:paraId="0C4278F9">
            <w:pPr>
              <w:widowControl/>
              <w:jc w:val="left"/>
              <w:rPr>
                <w:rFonts w:ascii="宋体" w:hAnsi="宋体" w:cs="宋体"/>
                <w:kern w:val="0"/>
              </w:rPr>
            </w:pPr>
          </w:p>
        </w:tc>
        <w:tc>
          <w:tcPr>
            <w:tcW w:w="712" w:type="dxa"/>
            <w:vMerge w:val="continue"/>
            <w:vAlign w:val="center"/>
          </w:tcPr>
          <w:p w14:paraId="31AC9919">
            <w:pPr>
              <w:widowControl/>
              <w:jc w:val="left"/>
              <w:rPr>
                <w:rFonts w:ascii="宋体" w:hAnsi="宋体" w:cs="宋体"/>
                <w:kern w:val="0"/>
              </w:rPr>
            </w:pPr>
          </w:p>
        </w:tc>
        <w:tc>
          <w:tcPr>
            <w:tcW w:w="1134" w:type="dxa"/>
            <w:shd w:val="clear" w:color="auto" w:fill="auto"/>
            <w:noWrap/>
            <w:vAlign w:val="center"/>
          </w:tcPr>
          <w:p w14:paraId="29183BAE">
            <w:pPr>
              <w:widowControl/>
              <w:jc w:val="center"/>
              <w:rPr>
                <w:rFonts w:ascii="宋体" w:hAnsi="宋体" w:cs="宋体"/>
                <w:color w:val="000000"/>
                <w:kern w:val="0"/>
              </w:rPr>
            </w:pPr>
            <w:r>
              <w:rPr>
                <w:rFonts w:hint="eastAsia" w:ascii="宋体" w:hAnsi="宋体" w:cs="宋体"/>
                <w:color w:val="000000"/>
                <w:kern w:val="0"/>
              </w:rPr>
              <w:t>产出质量</w:t>
            </w:r>
          </w:p>
        </w:tc>
        <w:tc>
          <w:tcPr>
            <w:tcW w:w="850" w:type="dxa"/>
            <w:shd w:val="clear" w:color="auto" w:fill="auto"/>
            <w:vAlign w:val="center"/>
          </w:tcPr>
          <w:p w14:paraId="0997133F">
            <w:pPr>
              <w:widowControl/>
              <w:jc w:val="center"/>
              <w:rPr>
                <w:rFonts w:ascii="宋体" w:hAnsi="宋体" w:cs="宋体"/>
                <w:color w:val="000000"/>
                <w:kern w:val="0"/>
              </w:rPr>
            </w:pPr>
            <w:r>
              <w:rPr>
                <w:rFonts w:hint="eastAsia" w:ascii="宋体" w:hAnsi="宋体" w:cs="宋体"/>
                <w:color w:val="000000"/>
                <w:kern w:val="0"/>
              </w:rPr>
              <w:t>25%</w:t>
            </w:r>
          </w:p>
        </w:tc>
        <w:tc>
          <w:tcPr>
            <w:tcW w:w="1418" w:type="dxa"/>
            <w:shd w:val="clear" w:color="auto" w:fill="auto"/>
            <w:noWrap/>
            <w:vAlign w:val="center"/>
          </w:tcPr>
          <w:p w14:paraId="269F7F74">
            <w:pPr>
              <w:widowControl/>
              <w:jc w:val="center"/>
              <w:rPr>
                <w:rFonts w:ascii="宋体" w:hAnsi="宋体" w:cs="宋体"/>
                <w:color w:val="000000"/>
                <w:kern w:val="0"/>
              </w:rPr>
            </w:pPr>
            <w:r>
              <w:rPr>
                <w:rFonts w:hint="eastAsia" w:ascii="宋体" w:hAnsi="宋体" w:cs="宋体"/>
                <w:color w:val="000000"/>
                <w:kern w:val="0"/>
              </w:rPr>
              <w:t>质量达标率</w:t>
            </w:r>
          </w:p>
        </w:tc>
        <w:tc>
          <w:tcPr>
            <w:tcW w:w="850" w:type="dxa"/>
            <w:shd w:val="clear" w:color="auto" w:fill="auto"/>
            <w:noWrap/>
            <w:vAlign w:val="center"/>
          </w:tcPr>
          <w:p w14:paraId="68835DF1">
            <w:pPr>
              <w:widowControl/>
              <w:jc w:val="center"/>
              <w:rPr>
                <w:rFonts w:ascii="宋体" w:hAnsi="宋体" w:cs="宋体"/>
                <w:kern w:val="0"/>
              </w:rPr>
            </w:pPr>
            <w:r>
              <w:rPr>
                <w:rFonts w:hint="eastAsia" w:ascii="宋体" w:hAnsi="宋体" w:cs="宋体"/>
                <w:kern w:val="0"/>
              </w:rPr>
              <w:t>100%</w:t>
            </w:r>
          </w:p>
        </w:tc>
        <w:tc>
          <w:tcPr>
            <w:tcW w:w="3119" w:type="dxa"/>
            <w:shd w:val="clear" w:color="auto" w:fill="auto"/>
            <w:vAlign w:val="center"/>
          </w:tcPr>
          <w:p w14:paraId="78EE108A">
            <w:pPr>
              <w:widowControl/>
              <w:jc w:val="left"/>
              <w:rPr>
                <w:rFonts w:ascii="宋体" w:hAnsi="宋体" w:cs="宋体"/>
                <w:color w:val="000000"/>
                <w:kern w:val="0"/>
              </w:rPr>
            </w:pPr>
            <w:r>
              <w:rPr>
                <w:rFonts w:hint="eastAsia" w:ascii="宋体" w:hAnsi="宋体" w:cs="宋体"/>
                <w:color w:val="000000"/>
                <w:kern w:val="0"/>
              </w:rPr>
              <w:t>项目完成的质量达标产出数与实际产出数的比率，用以反映项目产出质量目标的实现程度。</w:t>
            </w:r>
          </w:p>
        </w:tc>
        <w:tc>
          <w:tcPr>
            <w:tcW w:w="3543" w:type="dxa"/>
            <w:shd w:val="clear" w:color="auto" w:fill="auto"/>
            <w:vAlign w:val="center"/>
          </w:tcPr>
          <w:p w14:paraId="08B04E72">
            <w:pPr>
              <w:rPr>
                <w:rFonts w:ascii="宋体" w:hAnsi="宋体" w:cs="宋体"/>
                <w:color w:val="000000"/>
              </w:rPr>
            </w:pPr>
            <w:r>
              <w:rPr>
                <w:rFonts w:hint="eastAsia"/>
                <w:color w:val="000000"/>
              </w:rPr>
              <w:t>质量达标率=（质量达标产出数/实际产出数）×100%。</w:t>
            </w:r>
          </w:p>
        </w:tc>
        <w:tc>
          <w:tcPr>
            <w:tcW w:w="1080" w:type="dxa"/>
            <w:shd w:val="clear" w:color="auto" w:fill="auto"/>
            <w:noWrap/>
            <w:vAlign w:val="center"/>
          </w:tcPr>
          <w:p w14:paraId="3B8FE4F5">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77" w:type="dxa"/>
            <w:vAlign w:val="center"/>
          </w:tcPr>
          <w:p w14:paraId="2388611E">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1220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10" w:type="dxa"/>
            <w:vMerge w:val="continue"/>
            <w:vAlign w:val="center"/>
          </w:tcPr>
          <w:p w14:paraId="748DFA9A">
            <w:pPr>
              <w:widowControl/>
              <w:jc w:val="left"/>
              <w:rPr>
                <w:rFonts w:ascii="宋体" w:hAnsi="宋体" w:cs="宋体"/>
                <w:kern w:val="0"/>
              </w:rPr>
            </w:pPr>
          </w:p>
        </w:tc>
        <w:tc>
          <w:tcPr>
            <w:tcW w:w="712" w:type="dxa"/>
            <w:vMerge w:val="continue"/>
            <w:vAlign w:val="center"/>
          </w:tcPr>
          <w:p w14:paraId="34057219">
            <w:pPr>
              <w:widowControl/>
              <w:jc w:val="left"/>
              <w:rPr>
                <w:rFonts w:ascii="宋体" w:hAnsi="宋体" w:cs="宋体"/>
                <w:kern w:val="0"/>
              </w:rPr>
            </w:pPr>
          </w:p>
        </w:tc>
        <w:tc>
          <w:tcPr>
            <w:tcW w:w="1134" w:type="dxa"/>
            <w:shd w:val="clear" w:color="auto" w:fill="auto"/>
            <w:noWrap/>
            <w:vAlign w:val="center"/>
          </w:tcPr>
          <w:p w14:paraId="6648E030">
            <w:pPr>
              <w:widowControl/>
              <w:jc w:val="center"/>
              <w:rPr>
                <w:rFonts w:ascii="宋体" w:hAnsi="宋体" w:cs="宋体"/>
                <w:color w:val="000000"/>
                <w:kern w:val="0"/>
              </w:rPr>
            </w:pPr>
            <w:r>
              <w:rPr>
                <w:rFonts w:hint="eastAsia" w:ascii="宋体" w:hAnsi="宋体" w:cs="宋体"/>
                <w:color w:val="000000"/>
                <w:kern w:val="0"/>
              </w:rPr>
              <w:t>产出时效</w:t>
            </w:r>
          </w:p>
        </w:tc>
        <w:tc>
          <w:tcPr>
            <w:tcW w:w="850" w:type="dxa"/>
            <w:shd w:val="clear" w:color="auto" w:fill="auto"/>
            <w:vAlign w:val="center"/>
          </w:tcPr>
          <w:p w14:paraId="7F822A8A">
            <w:pPr>
              <w:widowControl/>
              <w:jc w:val="center"/>
              <w:rPr>
                <w:rFonts w:ascii="宋体" w:hAnsi="宋体" w:cs="宋体"/>
                <w:color w:val="000000"/>
                <w:kern w:val="0"/>
              </w:rPr>
            </w:pPr>
            <w:r>
              <w:rPr>
                <w:rFonts w:hint="eastAsia" w:ascii="宋体" w:hAnsi="宋体" w:cs="宋体"/>
                <w:color w:val="000000"/>
                <w:kern w:val="0"/>
              </w:rPr>
              <w:t>25%</w:t>
            </w:r>
          </w:p>
        </w:tc>
        <w:tc>
          <w:tcPr>
            <w:tcW w:w="1418" w:type="dxa"/>
            <w:shd w:val="clear" w:color="auto" w:fill="auto"/>
            <w:noWrap/>
            <w:vAlign w:val="center"/>
          </w:tcPr>
          <w:p w14:paraId="40E81BBD">
            <w:pPr>
              <w:widowControl/>
              <w:jc w:val="center"/>
              <w:rPr>
                <w:rFonts w:ascii="宋体" w:hAnsi="宋体" w:cs="宋体"/>
                <w:color w:val="000000"/>
                <w:kern w:val="0"/>
              </w:rPr>
            </w:pPr>
            <w:r>
              <w:rPr>
                <w:rFonts w:hint="eastAsia" w:ascii="宋体" w:hAnsi="宋体" w:cs="宋体"/>
                <w:color w:val="000000"/>
                <w:kern w:val="0"/>
              </w:rPr>
              <w:t>完成及时性</w:t>
            </w:r>
          </w:p>
        </w:tc>
        <w:tc>
          <w:tcPr>
            <w:tcW w:w="850" w:type="dxa"/>
            <w:shd w:val="clear" w:color="auto" w:fill="auto"/>
            <w:noWrap/>
            <w:vAlign w:val="center"/>
          </w:tcPr>
          <w:p w14:paraId="43E6E636">
            <w:pPr>
              <w:widowControl/>
              <w:jc w:val="center"/>
              <w:rPr>
                <w:rFonts w:ascii="宋体" w:hAnsi="宋体" w:cs="宋体"/>
                <w:kern w:val="0"/>
              </w:rPr>
            </w:pPr>
            <w:r>
              <w:rPr>
                <w:rFonts w:hint="eastAsia" w:ascii="宋体" w:hAnsi="宋体" w:cs="宋体"/>
                <w:kern w:val="0"/>
              </w:rPr>
              <w:t>100%</w:t>
            </w:r>
          </w:p>
        </w:tc>
        <w:tc>
          <w:tcPr>
            <w:tcW w:w="3119" w:type="dxa"/>
            <w:shd w:val="clear" w:color="auto" w:fill="auto"/>
            <w:vAlign w:val="center"/>
          </w:tcPr>
          <w:p w14:paraId="24B07BC9">
            <w:pPr>
              <w:widowControl/>
              <w:jc w:val="left"/>
              <w:rPr>
                <w:rFonts w:ascii="宋体" w:hAnsi="宋体" w:cs="宋体"/>
                <w:color w:val="000000"/>
                <w:kern w:val="0"/>
              </w:rPr>
            </w:pPr>
            <w:r>
              <w:rPr>
                <w:rFonts w:hint="eastAsia" w:ascii="宋体" w:hAnsi="宋体" w:cs="宋体"/>
                <w:color w:val="000000"/>
                <w:kern w:val="0"/>
              </w:rPr>
              <w:t>项目建设进度与计划工作进度的比较，用以反映项目产出时效目标的实现程度。</w:t>
            </w:r>
          </w:p>
        </w:tc>
        <w:tc>
          <w:tcPr>
            <w:tcW w:w="3543" w:type="dxa"/>
            <w:shd w:val="clear" w:color="auto" w:fill="auto"/>
            <w:vAlign w:val="center"/>
          </w:tcPr>
          <w:p w14:paraId="0D7E6DC2">
            <w:pPr>
              <w:rPr>
                <w:rFonts w:ascii="宋体" w:hAnsi="宋体" w:cs="宋体"/>
                <w:color w:val="000000"/>
              </w:rPr>
            </w:pPr>
            <w:r>
              <w:rPr>
                <w:rFonts w:hint="eastAsia"/>
                <w:color w:val="000000"/>
              </w:rPr>
              <w:t>项目建设进度与计划工作进度比较情况。</w:t>
            </w:r>
          </w:p>
        </w:tc>
        <w:tc>
          <w:tcPr>
            <w:tcW w:w="1080" w:type="dxa"/>
            <w:shd w:val="clear" w:color="auto" w:fill="auto"/>
            <w:noWrap/>
            <w:vAlign w:val="center"/>
          </w:tcPr>
          <w:p w14:paraId="0C1D9B93">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77" w:type="dxa"/>
            <w:vAlign w:val="center"/>
          </w:tcPr>
          <w:p w14:paraId="1DA2B6EB">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32BE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vMerge w:val="continue"/>
            <w:vAlign w:val="center"/>
          </w:tcPr>
          <w:p w14:paraId="57F7DDAA">
            <w:pPr>
              <w:widowControl/>
              <w:jc w:val="left"/>
              <w:rPr>
                <w:rFonts w:ascii="宋体" w:hAnsi="宋体" w:cs="宋体"/>
                <w:kern w:val="0"/>
              </w:rPr>
            </w:pPr>
          </w:p>
        </w:tc>
        <w:tc>
          <w:tcPr>
            <w:tcW w:w="712" w:type="dxa"/>
            <w:vMerge w:val="continue"/>
            <w:vAlign w:val="center"/>
          </w:tcPr>
          <w:p w14:paraId="09F40890">
            <w:pPr>
              <w:widowControl/>
              <w:jc w:val="left"/>
              <w:rPr>
                <w:rFonts w:ascii="宋体" w:hAnsi="宋体" w:cs="宋体"/>
                <w:kern w:val="0"/>
              </w:rPr>
            </w:pPr>
          </w:p>
        </w:tc>
        <w:tc>
          <w:tcPr>
            <w:tcW w:w="1134" w:type="dxa"/>
            <w:shd w:val="clear" w:color="auto" w:fill="auto"/>
            <w:noWrap/>
            <w:vAlign w:val="center"/>
          </w:tcPr>
          <w:p w14:paraId="683AAD80">
            <w:pPr>
              <w:widowControl/>
              <w:jc w:val="center"/>
              <w:rPr>
                <w:rFonts w:ascii="宋体" w:hAnsi="宋体" w:cs="宋体"/>
                <w:color w:val="000000"/>
                <w:kern w:val="0"/>
              </w:rPr>
            </w:pPr>
            <w:r>
              <w:rPr>
                <w:rFonts w:hint="eastAsia" w:ascii="宋体" w:hAnsi="宋体" w:cs="宋体"/>
                <w:color w:val="000000"/>
                <w:kern w:val="0"/>
              </w:rPr>
              <w:t>产出成本</w:t>
            </w:r>
          </w:p>
        </w:tc>
        <w:tc>
          <w:tcPr>
            <w:tcW w:w="850" w:type="dxa"/>
            <w:shd w:val="clear" w:color="auto" w:fill="auto"/>
            <w:vAlign w:val="center"/>
          </w:tcPr>
          <w:p w14:paraId="51C1FF71">
            <w:pPr>
              <w:widowControl/>
              <w:jc w:val="center"/>
              <w:rPr>
                <w:rFonts w:ascii="宋体" w:hAnsi="宋体" w:cs="宋体"/>
                <w:color w:val="000000"/>
                <w:kern w:val="0"/>
              </w:rPr>
            </w:pPr>
            <w:r>
              <w:rPr>
                <w:rFonts w:hint="eastAsia" w:ascii="宋体" w:hAnsi="宋体" w:cs="宋体"/>
                <w:color w:val="000000"/>
                <w:kern w:val="0"/>
              </w:rPr>
              <w:t>25%</w:t>
            </w:r>
          </w:p>
        </w:tc>
        <w:tc>
          <w:tcPr>
            <w:tcW w:w="1418" w:type="dxa"/>
            <w:shd w:val="clear" w:color="auto" w:fill="auto"/>
            <w:noWrap/>
            <w:vAlign w:val="center"/>
          </w:tcPr>
          <w:p w14:paraId="1E5E16AD">
            <w:pPr>
              <w:widowControl/>
              <w:jc w:val="center"/>
              <w:rPr>
                <w:rFonts w:ascii="宋体" w:hAnsi="宋体" w:cs="宋体"/>
                <w:color w:val="000000"/>
                <w:kern w:val="0"/>
              </w:rPr>
            </w:pPr>
            <w:r>
              <w:rPr>
                <w:rFonts w:hint="eastAsia" w:ascii="宋体" w:hAnsi="宋体" w:cs="宋体"/>
                <w:color w:val="000000"/>
                <w:kern w:val="0"/>
              </w:rPr>
              <w:t>成本控制</w:t>
            </w:r>
          </w:p>
        </w:tc>
        <w:tc>
          <w:tcPr>
            <w:tcW w:w="850" w:type="dxa"/>
            <w:shd w:val="clear" w:color="auto" w:fill="auto"/>
            <w:noWrap/>
            <w:vAlign w:val="center"/>
          </w:tcPr>
          <w:p w14:paraId="456B6FC8">
            <w:pPr>
              <w:widowControl/>
              <w:jc w:val="center"/>
              <w:rPr>
                <w:rFonts w:ascii="宋体" w:hAnsi="宋体" w:cs="宋体"/>
                <w:kern w:val="0"/>
              </w:rPr>
            </w:pPr>
            <w:r>
              <w:rPr>
                <w:rFonts w:hint="eastAsia" w:ascii="宋体" w:hAnsi="宋体" w:cs="宋体"/>
                <w:kern w:val="0"/>
              </w:rPr>
              <w:t>100%</w:t>
            </w:r>
          </w:p>
        </w:tc>
        <w:tc>
          <w:tcPr>
            <w:tcW w:w="3119" w:type="dxa"/>
            <w:shd w:val="clear" w:color="auto" w:fill="auto"/>
            <w:vAlign w:val="center"/>
          </w:tcPr>
          <w:p w14:paraId="61994096">
            <w:pPr>
              <w:widowControl/>
              <w:jc w:val="left"/>
              <w:rPr>
                <w:rFonts w:ascii="宋体" w:hAnsi="宋体" w:cs="宋体"/>
                <w:kern w:val="0"/>
              </w:rPr>
            </w:pPr>
            <w:r>
              <w:rPr>
                <w:rFonts w:hint="eastAsia" w:ascii="宋体" w:hAnsi="宋体" w:cs="宋体"/>
                <w:kern w:val="0"/>
              </w:rPr>
              <w:t>反映项目成本的控制情况。</w:t>
            </w:r>
          </w:p>
        </w:tc>
        <w:tc>
          <w:tcPr>
            <w:tcW w:w="3543" w:type="dxa"/>
            <w:shd w:val="clear" w:color="auto" w:fill="auto"/>
            <w:vAlign w:val="center"/>
          </w:tcPr>
          <w:p w14:paraId="619E7C53">
            <w:pPr>
              <w:rPr>
                <w:rFonts w:ascii="宋体" w:hAnsi="宋体" w:cs="宋体"/>
                <w:color w:val="000000"/>
              </w:rPr>
            </w:pPr>
            <w:r>
              <w:rPr>
                <w:rFonts w:hint="eastAsia"/>
                <w:color w:val="000000"/>
              </w:rPr>
              <w:t>项目建设成本与同类项目或市场价格相比是否属于合理范围。</w:t>
            </w:r>
          </w:p>
        </w:tc>
        <w:tc>
          <w:tcPr>
            <w:tcW w:w="1080" w:type="dxa"/>
            <w:shd w:val="clear" w:color="auto" w:fill="auto"/>
            <w:noWrap/>
            <w:vAlign w:val="center"/>
          </w:tcPr>
          <w:p w14:paraId="3BF249C9">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1077" w:type="dxa"/>
            <w:vAlign w:val="center"/>
          </w:tcPr>
          <w:p w14:paraId="3814FCC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r>
      <w:tr w14:paraId="37B1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10" w:type="dxa"/>
            <w:vMerge w:val="restart"/>
            <w:shd w:val="clear" w:color="auto" w:fill="auto"/>
            <w:noWrap/>
            <w:vAlign w:val="center"/>
          </w:tcPr>
          <w:p w14:paraId="41D8120E">
            <w:pPr>
              <w:widowControl/>
              <w:jc w:val="center"/>
              <w:rPr>
                <w:rFonts w:ascii="宋体" w:hAnsi="宋体" w:cs="宋体"/>
                <w:kern w:val="0"/>
              </w:rPr>
            </w:pPr>
            <w:r>
              <w:rPr>
                <w:rFonts w:hint="eastAsia" w:ascii="宋体" w:hAnsi="宋体" w:cs="宋体"/>
                <w:kern w:val="0"/>
              </w:rPr>
              <w:t>效益（1</w:t>
            </w:r>
            <w:r>
              <w:rPr>
                <w:rFonts w:hint="eastAsia" w:ascii="宋体" w:hAnsi="宋体" w:cs="宋体"/>
                <w:kern w:val="0"/>
                <w:lang w:val="en-US" w:eastAsia="zh-CN"/>
              </w:rPr>
              <w:t>0</w:t>
            </w:r>
            <w:r>
              <w:rPr>
                <w:rFonts w:hint="eastAsia" w:ascii="宋体" w:hAnsi="宋体" w:cs="宋体"/>
                <w:kern w:val="0"/>
              </w:rPr>
              <w:t>分）</w:t>
            </w:r>
          </w:p>
        </w:tc>
        <w:tc>
          <w:tcPr>
            <w:tcW w:w="712" w:type="dxa"/>
            <w:vMerge w:val="restart"/>
            <w:shd w:val="clear" w:color="auto" w:fill="auto"/>
            <w:noWrap/>
            <w:vAlign w:val="center"/>
          </w:tcPr>
          <w:p w14:paraId="7E0359DB">
            <w:pPr>
              <w:widowControl/>
              <w:jc w:val="center"/>
              <w:rPr>
                <w:rFonts w:ascii="宋体" w:hAnsi="宋体" w:cs="宋体"/>
                <w:kern w:val="0"/>
              </w:rPr>
            </w:pPr>
            <w:r>
              <w:rPr>
                <w:rFonts w:hint="eastAsia" w:ascii="宋体" w:hAnsi="宋体" w:cs="宋体"/>
                <w:kern w:val="0"/>
              </w:rPr>
              <w:t>1</w:t>
            </w:r>
            <w:r>
              <w:rPr>
                <w:rFonts w:hint="eastAsia" w:ascii="宋体" w:hAnsi="宋体" w:cs="宋体"/>
                <w:kern w:val="0"/>
                <w:lang w:val="en-US" w:eastAsia="zh-CN"/>
              </w:rPr>
              <w:t>0</w:t>
            </w:r>
            <w:r>
              <w:rPr>
                <w:rFonts w:hint="eastAsia" w:ascii="宋体" w:hAnsi="宋体" w:cs="宋体"/>
                <w:kern w:val="0"/>
              </w:rPr>
              <w:t>%</w:t>
            </w:r>
          </w:p>
        </w:tc>
        <w:tc>
          <w:tcPr>
            <w:tcW w:w="1134" w:type="dxa"/>
            <w:shd w:val="clear" w:color="auto" w:fill="auto"/>
            <w:noWrap/>
            <w:vAlign w:val="center"/>
          </w:tcPr>
          <w:p w14:paraId="298B3DFF">
            <w:pPr>
              <w:widowControl/>
              <w:jc w:val="center"/>
              <w:rPr>
                <w:rFonts w:ascii="宋体" w:hAnsi="宋体" w:cs="宋体"/>
                <w:kern w:val="0"/>
              </w:rPr>
            </w:pPr>
            <w:r>
              <w:rPr>
                <w:rFonts w:hint="eastAsia" w:ascii="宋体" w:hAnsi="宋体" w:cs="宋体"/>
                <w:kern w:val="0"/>
              </w:rPr>
              <w:t>项目效益</w:t>
            </w:r>
          </w:p>
        </w:tc>
        <w:tc>
          <w:tcPr>
            <w:tcW w:w="850" w:type="dxa"/>
            <w:shd w:val="clear" w:color="auto" w:fill="auto"/>
            <w:vAlign w:val="center"/>
          </w:tcPr>
          <w:p w14:paraId="1BF18998">
            <w:pPr>
              <w:widowControl/>
              <w:jc w:val="center"/>
              <w:rPr>
                <w:rFonts w:ascii="宋体" w:hAnsi="宋体" w:cs="宋体"/>
                <w:color w:val="000000"/>
                <w:kern w:val="0"/>
              </w:rPr>
            </w:pPr>
            <w:r>
              <w:rPr>
                <w:rFonts w:hint="eastAsia" w:ascii="宋体" w:hAnsi="宋体" w:cs="宋体"/>
                <w:color w:val="000000"/>
                <w:kern w:val="0"/>
                <w:lang w:val="en-US" w:eastAsia="zh-CN"/>
              </w:rPr>
              <w:t>50</w:t>
            </w:r>
            <w:r>
              <w:rPr>
                <w:rFonts w:hint="eastAsia" w:ascii="宋体" w:hAnsi="宋体" w:cs="宋体"/>
                <w:color w:val="000000"/>
                <w:kern w:val="0"/>
              </w:rPr>
              <w:t>%</w:t>
            </w:r>
          </w:p>
        </w:tc>
        <w:tc>
          <w:tcPr>
            <w:tcW w:w="1418" w:type="dxa"/>
            <w:shd w:val="clear" w:color="auto" w:fill="auto"/>
            <w:noWrap/>
            <w:vAlign w:val="center"/>
          </w:tcPr>
          <w:p w14:paraId="47CC1DD7">
            <w:pPr>
              <w:widowControl/>
              <w:jc w:val="center"/>
              <w:rPr>
                <w:rFonts w:ascii="宋体" w:hAnsi="宋体" w:cs="宋体"/>
                <w:kern w:val="0"/>
              </w:rPr>
            </w:pPr>
            <w:r>
              <w:rPr>
                <w:rFonts w:hint="eastAsia" w:ascii="宋体" w:hAnsi="宋体" w:cs="宋体"/>
                <w:kern w:val="0"/>
              </w:rPr>
              <w:t>社会效益</w:t>
            </w:r>
          </w:p>
        </w:tc>
        <w:tc>
          <w:tcPr>
            <w:tcW w:w="850" w:type="dxa"/>
            <w:shd w:val="clear" w:color="auto" w:fill="auto"/>
            <w:noWrap/>
            <w:vAlign w:val="center"/>
          </w:tcPr>
          <w:p w14:paraId="6A71685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100%</w:t>
            </w:r>
          </w:p>
        </w:tc>
        <w:tc>
          <w:tcPr>
            <w:tcW w:w="3119" w:type="dxa"/>
            <w:shd w:val="clear" w:color="auto" w:fill="auto"/>
            <w:vAlign w:val="center"/>
          </w:tcPr>
          <w:p w14:paraId="0C1F8A7B">
            <w:pPr>
              <w:widowControl/>
              <w:jc w:val="left"/>
              <w:rPr>
                <w:rFonts w:ascii="宋体" w:hAnsi="宋体" w:cs="宋体"/>
                <w:kern w:val="0"/>
              </w:rPr>
            </w:pPr>
            <w:r>
              <w:rPr>
                <w:rFonts w:hint="eastAsia" w:ascii="宋体" w:hAnsi="宋体" w:cs="宋体"/>
                <w:kern w:val="0"/>
              </w:rPr>
              <w:t>反映项目相关产出对社会发展带来的影响和效果。</w:t>
            </w:r>
          </w:p>
        </w:tc>
        <w:tc>
          <w:tcPr>
            <w:tcW w:w="3543" w:type="dxa"/>
            <w:shd w:val="clear" w:color="auto" w:fill="auto"/>
            <w:vAlign w:val="center"/>
          </w:tcPr>
          <w:p w14:paraId="247DBBFB">
            <w:pPr>
              <w:rPr>
                <w:rFonts w:ascii="宋体" w:hAnsi="宋体" w:cs="宋体"/>
                <w:color w:val="000000"/>
              </w:rPr>
            </w:pPr>
            <w:r>
              <w:rPr>
                <w:rFonts w:hint="eastAsia"/>
                <w:color w:val="000000"/>
              </w:rPr>
              <w:t>项目带动社会有效投资、支持国家重大区域发展战略等对社会发展的影响和效果情况。</w:t>
            </w:r>
          </w:p>
        </w:tc>
        <w:tc>
          <w:tcPr>
            <w:tcW w:w="1080" w:type="dxa"/>
            <w:shd w:val="clear" w:color="auto" w:fill="auto"/>
            <w:noWrap/>
            <w:vAlign w:val="center"/>
          </w:tcPr>
          <w:p w14:paraId="0C5281D9">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77" w:type="dxa"/>
            <w:vAlign w:val="center"/>
          </w:tcPr>
          <w:p w14:paraId="28253E5F">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14:paraId="39DE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vMerge w:val="continue"/>
            <w:vAlign w:val="center"/>
          </w:tcPr>
          <w:p w14:paraId="644551C6">
            <w:pPr>
              <w:widowControl/>
              <w:jc w:val="left"/>
              <w:rPr>
                <w:rFonts w:ascii="宋体" w:hAnsi="宋体" w:cs="宋体"/>
                <w:kern w:val="0"/>
              </w:rPr>
            </w:pPr>
          </w:p>
        </w:tc>
        <w:tc>
          <w:tcPr>
            <w:tcW w:w="712" w:type="dxa"/>
            <w:vMerge w:val="continue"/>
            <w:vAlign w:val="center"/>
          </w:tcPr>
          <w:p w14:paraId="2D17B861">
            <w:pPr>
              <w:widowControl/>
              <w:jc w:val="left"/>
              <w:rPr>
                <w:rFonts w:ascii="宋体" w:hAnsi="宋体" w:cs="宋体"/>
                <w:kern w:val="0"/>
              </w:rPr>
            </w:pPr>
          </w:p>
        </w:tc>
        <w:tc>
          <w:tcPr>
            <w:tcW w:w="1134" w:type="dxa"/>
            <w:shd w:val="clear" w:color="auto" w:fill="auto"/>
            <w:noWrap/>
            <w:vAlign w:val="center"/>
          </w:tcPr>
          <w:p w14:paraId="376C4EE5">
            <w:pPr>
              <w:widowControl/>
              <w:jc w:val="center"/>
              <w:rPr>
                <w:rFonts w:ascii="宋体" w:hAnsi="宋体" w:cs="宋体"/>
                <w:kern w:val="0"/>
              </w:rPr>
            </w:pPr>
            <w:r>
              <w:rPr>
                <w:rFonts w:hint="eastAsia" w:ascii="宋体" w:hAnsi="宋体" w:cs="宋体"/>
                <w:kern w:val="0"/>
              </w:rPr>
              <w:t>满意度</w:t>
            </w:r>
          </w:p>
        </w:tc>
        <w:tc>
          <w:tcPr>
            <w:tcW w:w="850" w:type="dxa"/>
            <w:shd w:val="clear" w:color="auto" w:fill="auto"/>
            <w:noWrap/>
            <w:vAlign w:val="center"/>
          </w:tcPr>
          <w:p w14:paraId="1140A002">
            <w:pPr>
              <w:widowControl/>
              <w:jc w:val="center"/>
              <w:rPr>
                <w:rFonts w:ascii="宋体" w:hAnsi="宋体" w:cs="宋体"/>
                <w:color w:val="000000"/>
                <w:kern w:val="0"/>
              </w:rPr>
            </w:pPr>
            <w:r>
              <w:rPr>
                <w:rFonts w:hint="eastAsia" w:ascii="宋体" w:hAnsi="宋体" w:cs="宋体"/>
                <w:color w:val="000000"/>
                <w:kern w:val="0"/>
              </w:rPr>
              <w:t>50%</w:t>
            </w:r>
          </w:p>
        </w:tc>
        <w:tc>
          <w:tcPr>
            <w:tcW w:w="1418" w:type="dxa"/>
            <w:shd w:val="clear" w:color="auto" w:fill="auto"/>
            <w:noWrap/>
            <w:vAlign w:val="center"/>
          </w:tcPr>
          <w:p w14:paraId="684B2C28">
            <w:pPr>
              <w:widowControl/>
              <w:jc w:val="center"/>
              <w:rPr>
                <w:rFonts w:ascii="宋体" w:hAnsi="宋体" w:cs="宋体"/>
                <w:color w:val="000000"/>
                <w:kern w:val="0"/>
              </w:rPr>
            </w:pPr>
            <w:r>
              <w:rPr>
                <w:rFonts w:hint="eastAsia" w:ascii="宋体" w:hAnsi="宋体" w:cs="宋体"/>
                <w:color w:val="000000"/>
                <w:kern w:val="0"/>
              </w:rPr>
              <w:t>服务对象满意度</w:t>
            </w:r>
          </w:p>
        </w:tc>
        <w:tc>
          <w:tcPr>
            <w:tcW w:w="850" w:type="dxa"/>
            <w:shd w:val="clear" w:color="auto" w:fill="auto"/>
            <w:noWrap/>
            <w:vAlign w:val="center"/>
          </w:tcPr>
          <w:p w14:paraId="246DF9FF">
            <w:pPr>
              <w:widowControl/>
              <w:jc w:val="center"/>
              <w:rPr>
                <w:rFonts w:ascii="宋体" w:hAnsi="宋体" w:cs="宋体"/>
                <w:kern w:val="0"/>
              </w:rPr>
            </w:pPr>
            <w:r>
              <w:rPr>
                <w:rFonts w:hint="eastAsia" w:ascii="宋体" w:hAnsi="宋体" w:cs="宋体"/>
                <w:kern w:val="0"/>
              </w:rPr>
              <w:t>100%</w:t>
            </w:r>
          </w:p>
        </w:tc>
        <w:tc>
          <w:tcPr>
            <w:tcW w:w="3119" w:type="dxa"/>
            <w:shd w:val="clear" w:color="auto" w:fill="auto"/>
            <w:vAlign w:val="center"/>
          </w:tcPr>
          <w:p w14:paraId="4427E5DB">
            <w:pPr>
              <w:widowControl/>
              <w:jc w:val="left"/>
              <w:rPr>
                <w:rFonts w:ascii="宋体" w:hAnsi="宋体" w:cs="宋体"/>
                <w:kern w:val="0"/>
              </w:rPr>
            </w:pPr>
            <w:r>
              <w:rPr>
                <w:rFonts w:hint="eastAsia" w:ascii="宋体" w:hAnsi="宋体" w:cs="宋体"/>
                <w:kern w:val="0"/>
              </w:rPr>
              <w:t>反映项目直接服服务对象等相关群体对项目实施效果的满意程度。</w:t>
            </w:r>
          </w:p>
        </w:tc>
        <w:tc>
          <w:tcPr>
            <w:tcW w:w="3543" w:type="dxa"/>
            <w:shd w:val="clear" w:color="auto" w:fill="auto"/>
            <w:vAlign w:val="center"/>
          </w:tcPr>
          <w:p w14:paraId="501AF772">
            <w:pPr>
              <w:rPr>
                <w:rFonts w:ascii="宋体" w:hAnsi="宋体" w:cs="宋体"/>
                <w:color w:val="000000"/>
              </w:rPr>
            </w:pPr>
            <w:r>
              <w:rPr>
                <w:rFonts w:hint="eastAsia"/>
                <w:color w:val="000000"/>
              </w:rPr>
              <w:t>项目实施而受到影响的部门（单位）、群体或个人对项目实施效果的满意程度。</w:t>
            </w:r>
          </w:p>
        </w:tc>
        <w:tc>
          <w:tcPr>
            <w:tcW w:w="1080" w:type="dxa"/>
            <w:shd w:val="clear" w:color="auto" w:fill="auto"/>
            <w:noWrap/>
            <w:vAlign w:val="center"/>
          </w:tcPr>
          <w:p w14:paraId="51F56FAA">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77" w:type="dxa"/>
            <w:vAlign w:val="center"/>
          </w:tcPr>
          <w:p w14:paraId="51863417">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5</w:t>
            </w:r>
          </w:p>
        </w:tc>
      </w:tr>
      <w:tr w14:paraId="5F6F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0" w:type="dxa"/>
            <w:shd w:val="clear" w:color="auto" w:fill="auto"/>
            <w:noWrap/>
            <w:vAlign w:val="center"/>
          </w:tcPr>
          <w:p w14:paraId="03E81D4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712" w:type="dxa"/>
            <w:shd w:val="clear" w:color="auto" w:fill="auto"/>
            <w:noWrap/>
            <w:vAlign w:val="center"/>
          </w:tcPr>
          <w:p w14:paraId="1714814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100%</w:t>
            </w:r>
          </w:p>
        </w:tc>
        <w:tc>
          <w:tcPr>
            <w:tcW w:w="1134" w:type="dxa"/>
            <w:shd w:val="clear" w:color="auto" w:fill="auto"/>
            <w:noWrap/>
            <w:vAlign w:val="center"/>
          </w:tcPr>
          <w:p w14:paraId="73B550C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850" w:type="dxa"/>
            <w:shd w:val="clear" w:color="auto" w:fill="auto"/>
            <w:noWrap/>
            <w:vAlign w:val="center"/>
          </w:tcPr>
          <w:p w14:paraId="06A655E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418" w:type="dxa"/>
            <w:shd w:val="clear" w:color="auto" w:fill="auto"/>
            <w:noWrap/>
            <w:vAlign w:val="center"/>
          </w:tcPr>
          <w:p w14:paraId="655CD93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850" w:type="dxa"/>
            <w:shd w:val="clear" w:color="auto" w:fill="auto"/>
            <w:noWrap/>
            <w:vAlign w:val="center"/>
          </w:tcPr>
          <w:p w14:paraId="7BA18BC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3119" w:type="dxa"/>
            <w:shd w:val="clear" w:color="auto" w:fill="auto"/>
            <w:noWrap/>
            <w:vAlign w:val="center"/>
          </w:tcPr>
          <w:p w14:paraId="202AD99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3543" w:type="dxa"/>
            <w:shd w:val="clear" w:color="auto" w:fill="auto"/>
            <w:noWrap/>
            <w:vAlign w:val="center"/>
          </w:tcPr>
          <w:p w14:paraId="371D08C3">
            <w:pPr>
              <w:jc w:val="center"/>
              <w:rPr>
                <w:rFonts w:ascii="宋体" w:hAnsi="宋体" w:cs="宋体"/>
                <w:b/>
                <w:bCs/>
                <w:color w:val="000000"/>
                <w:sz w:val="22"/>
                <w:szCs w:val="22"/>
              </w:rPr>
            </w:pPr>
            <w:r>
              <w:rPr>
                <w:rFonts w:hint="eastAsia"/>
                <w:b/>
                <w:bCs/>
                <w:color w:val="000000"/>
                <w:sz w:val="22"/>
                <w:szCs w:val="22"/>
              </w:rPr>
              <w:t>　</w:t>
            </w:r>
          </w:p>
        </w:tc>
        <w:tc>
          <w:tcPr>
            <w:tcW w:w="1080" w:type="dxa"/>
            <w:shd w:val="clear" w:color="auto" w:fill="auto"/>
            <w:noWrap/>
            <w:vAlign w:val="center"/>
          </w:tcPr>
          <w:p w14:paraId="0956D5E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100</w:t>
            </w:r>
          </w:p>
        </w:tc>
        <w:tc>
          <w:tcPr>
            <w:tcW w:w="1077" w:type="dxa"/>
            <w:vAlign w:val="center"/>
          </w:tcPr>
          <w:p w14:paraId="638FCBCB">
            <w:pPr>
              <w:widowControl/>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rPr>
              <w:t>9</w:t>
            </w:r>
            <w:r>
              <w:rPr>
                <w:rFonts w:hint="eastAsia" w:ascii="宋体" w:hAnsi="宋体" w:cs="宋体"/>
                <w:b/>
                <w:bCs/>
                <w:color w:val="000000"/>
                <w:kern w:val="0"/>
                <w:sz w:val="22"/>
                <w:szCs w:val="22"/>
                <w:lang w:val="en-US" w:eastAsia="zh-CN"/>
              </w:rPr>
              <w:t>5</w:t>
            </w:r>
          </w:p>
        </w:tc>
      </w:tr>
    </w:tbl>
    <w:p w14:paraId="5E5369FB">
      <w:pPr>
        <w:pStyle w:val="13"/>
      </w:pPr>
    </w:p>
    <w:p w14:paraId="3ECD48EF">
      <w:pPr>
        <w:pStyle w:val="13"/>
      </w:pPr>
      <w:bookmarkStart w:id="0" w:name="_GoBack"/>
      <w:bookmarkEnd w:id="0"/>
    </w:p>
    <w:sectPr>
      <w:pgSz w:w="16838" w:h="11906" w:orient="landscape"/>
      <w:pgMar w:top="1800" w:right="1440" w:bottom="184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A578E"/>
    <w:multiLevelType w:val="singleLevel"/>
    <w:tmpl w:val="6DDA578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54D"/>
    <w:rsid w:val="000008D3"/>
    <w:rsid w:val="00005A2F"/>
    <w:rsid w:val="00006479"/>
    <w:rsid w:val="000221F6"/>
    <w:rsid w:val="00024A7F"/>
    <w:rsid w:val="00031DAE"/>
    <w:rsid w:val="00032D58"/>
    <w:rsid w:val="000421EA"/>
    <w:rsid w:val="000545F8"/>
    <w:rsid w:val="0007687A"/>
    <w:rsid w:val="00094F89"/>
    <w:rsid w:val="000A3CC0"/>
    <w:rsid w:val="000B2480"/>
    <w:rsid w:val="000B4CF2"/>
    <w:rsid w:val="000C5DEB"/>
    <w:rsid w:val="000C7133"/>
    <w:rsid w:val="000C7716"/>
    <w:rsid w:val="000E3F61"/>
    <w:rsid w:val="001015BB"/>
    <w:rsid w:val="0010320C"/>
    <w:rsid w:val="00104894"/>
    <w:rsid w:val="001135A5"/>
    <w:rsid w:val="00114E88"/>
    <w:rsid w:val="00147406"/>
    <w:rsid w:val="001659BF"/>
    <w:rsid w:val="001710CD"/>
    <w:rsid w:val="00194073"/>
    <w:rsid w:val="001A7C53"/>
    <w:rsid w:val="001B2CC3"/>
    <w:rsid w:val="001B3292"/>
    <w:rsid w:val="001B34F7"/>
    <w:rsid w:val="001E76B4"/>
    <w:rsid w:val="001F0F4B"/>
    <w:rsid w:val="001F1559"/>
    <w:rsid w:val="00204A2B"/>
    <w:rsid w:val="00204CF8"/>
    <w:rsid w:val="00242D5D"/>
    <w:rsid w:val="00244B64"/>
    <w:rsid w:val="00246FE9"/>
    <w:rsid w:val="0025061C"/>
    <w:rsid w:val="00253193"/>
    <w:rsid w:val="00263CE7"/>
    <w:rsid w:val="00265316"/>
    <w:rsid w:val="00266B7A"/>
    <w:rsid w:val="00270584"/>
    <w:rsid w:val="00275F26"/>
    <w:rsid w:val="00283123"/>
    <w:rsid w:val="002A51D5"/>
    <w:rsid w:val="002C3BC0"/>
    <w:rsid w:val="002C57EF"/>
    <w:rsid w:val="002C77D2"/>
    <w:rsid w:val="002D3920"/>
    <w:rsid w:val="002E4101"/>
    <w:rsid w:val="002F1932"/>
    <w:rsid w:val="002F6F81"/>
    <w:rsid w:val="00302FAD"/>
    <w:rsid w:val="00332466"/>
    <w:rsid w:val="0035250F"/>
    <w:rsid w:val="00353FD1"/>
    <w:rsid w:val="0035588C"/>
    <w:rsid w:val="00363934"/>
    <w:rsid w:val="00366C14"/>
    <w:rsid w:val="003701CA"/>
    <w:rsid w:val="00380824"/>
    <w:rsid w:val="0038150D"/>
    <w:rsid w:val="00393E97"/>
    <w:rsid w:val="003A489D"/>
    <w:rsid w:val="003A5A05"/>
    <w:rsid w:val="003B53B8"/>
    <w:rsid w:val="003B61BD"/>
    <w:rsid w:val="003C4D2C"/>
    <w:rsid w:val="003D7EDB"/>
    <w:rsid w:val="003E4D47"/>
    <w:rsid w:val="00425D10"/>
    <w:rsid w:val="004972AA"/>
    <w:rsid w:val="004B009E"/>
    <w:rsid w:val="004C0007"/>
    <w:rsid w:val="004C1FA5"/>
    <w:rsid w:val="004E4484"/>
    <w:rsid w:val="004F4DA9"/>
    <w:rsid w:val="00523C18"/>
    <w:rsid w:val="00535765"/>
    <w:rsid w:val="005575D9"/>
    <w:rsid w:val="00561BCC"/>
    <w:rsid w:val="005651C5"/>
    <w:rsid w:val="00570F88"/>
    <w:rsid w:val="005923FE"/>
    <w:rsid w:val="0059332F"/>
    <w:rsid w:val="005A123D"/>
    <w:rsid w:val="005A2D98"/>
    <w:rsid w:val="005A42E8"/>
    <w:rsid w:val="005A6401"/>
    <w:rsid w:val="005C0920"/>
    <w:rsid w:val="005C0D14"/>
    <w:rsid w:val="005C7DC3"/>
    <w:rsid w:val="005D3CF5"/>
    <w:rsid w:val="00603F08"/>
    <w:rsid w:val="006051DC"/>
    <w:rsid w:val="006178C4"/>
    <w:rsid w:val="006328DC"/>
    <w:rsid w:val="00661C26"/>
    <w:rsid w:val="00670D1B"/>
    <w:rsid w:val="006A1234"/>
    <w:rsid w:val="006A717E"/>
    <w:rsid w:val="006D3A81"/>
    <w:rsid w:val="006D786A"/>
    <w:rsid w:val="006F3F68"/>
    <w:rsid w:val="006F4A6A"/>
    <w:rsid w:val="00706E64"/>
    <w:rsid w:val="0072076B"/>
    <w:rsid w:val="00737B5B"/>
    <w:rsid w:val="00743340"/>
    <w:rsid w:val="007472B8"/>
    <w:rsid w:val="00753485"/>
    <w:rsid w:val="00795F75"/>
    <w:rsid w:val="00797AC9"/>
    <w:rsid w:val="007B2BF4"/>
    <w:rsid w:val="007B470B"/>
    <w:rsid w:val="007C4B27"/>
    <w:rsid w:val="007D0F66"/>
    <w:rsid w:val="007D6877"/>
    <w:rsid w:val="007E2CFC"/>
    <w:rsid w:val="007F2C72"/>
    <w:rsid w:val="00805577"/>
    <w:rsid w:val="0080606B"/>
    <w:rsid w:val="00835DE1"/>
    <w:rsid w:val="00836173"/>
    <w:rsid w:val="00844242"/>
    <w:rsid w:val="008451EC"/>
    <w:rsid w:val="00845F66"/>
    <w:rsid w:val="00853534"/>
    <w:rsid w:val="00853862"/>
    <w:rsid w:val="00884D4A"/>
    <w:rsid w:val="008A004A"/>
    <w:rsid w:val="008C3F4E"/>
    <w:rsid w:val="008D42D6"/>
    <w:rsid w:val="008F4694"/>
    <w:rsid w:val="009008B7"/>
    <w:rsid w:val="00904FF2"/>
    <w:rsid w:val="00905DC9"/>
    <w:rsid w:val="0094147C"/>
    <w:rsid w:val="00945F1A"/>
    <w:rsid w:val="00956C8A"/>
    <w:rsid w:val="00957CDE"/>
    <w:rsid w:val="00975065"/>
    <w:rsid w:val="00991BB6"/>
    <w:rsid w:val="00993122"/>
    <w:rsid w:val="00996BA5"/>
    <w:rsid w:val="0099776E"/>
    <w:rsid w:val="009A69C8"/>
    <w:rsid w:val="009C2A11"/>
    <w:rsid w:val="00A02ADE"/>
    <w:rsid w:val="00A130BC"/>
    <w:rsid w:val="00A316F4"/>
    <w:rsid w:val="00A4391F"/>
    <w:rsid w:val="00A6480B"/>
    <w:rsid w:val="00A65707"/>
    <w:rsid w:val="00A77F1C"/>
    <w:rsid w:val="00A84BFD"/>
    <w:rsid w:val="00AE56FF"/>
    <w:rsid w:val="00AE70D8"/>
    <w:rsid w:val="00AF3C3D"/>
    <w:rsid w:val="00B03BBB"/>
    <w:rsid w:val="00B0609E"/>
    <w:rsid w:val="00B11F3D"/>
    <w:rsid w:val="00B40893"/>
    <w:rsid w:val="00B41602"/>
    <w:rsid w:val="00B42977"/>
    <w:rsid w:val="00B55932"/>
    <w:rsid w:val="00B86B78"/>
    <w:rsid w:val="00B9462F"/>
    <w:rsid w:val="00B954F9"/>
    <w:rsid w:val="00BA676A"/>
    <w:rsid w:val="00BA6F41"/>
    <w:rsid w:val="00BA7E56"/>
    <w:rsid w:val="00BB42FE"/>
    <w:rsid w:val="00BE163F"/>
    <w:rsid w:val="00BE4A36"/>
    <w:rsid w:val="00BE733A"/>
    <w:rsid w:val="00BF2058"/>
    <w:rsid w:val="00C17700"/>
    <w:rsid w:val="00C17E74"/>
    <w:rsid w:val="00C2254C"/>
    <w:rsid w:val="00C22EC6"/>
    <w:rsid w:val="00C250A5"/>
    <w:rsid w:val="00C37296"/>
    <w:rsid w:val="00C40C34"/>
    <w:rsid w:val="00C42342"/>
    <w:rsid w:val="00C42E50"/>
    <w:rsid w:val="00C43470"/>
    <w:rsid w:val="00C638D1"/>
    <w:rsid w:val="00C702D2"/>
    <w:rsid w:val="00C7624D"/>
    <w:rsid w:val="00C87BFE"/>
    <w:rsid w:val="00C90696"/>
    <w:rsid w:val="00C90BB0"/>
    <w:rsid w:val="00CA7AA1"/>
    <w:rsid w:val="00CB3C0B"/>
    <w:rsid w:val="00CC54CF"/>
    <w:rsid w:val="00CF2B28"/>
    <w:rsid w:val="00CF2D67"/>
    <w:rsid w:val="00D03062"/>
    <w:rsid w:val="00D16245"/>
    <w:rsid w:val="00D23711"/>
    <w:rsid w:val="00D3395F"/>
    <w:rsid w:val="00D452FB"/>
    <w:rsid w:val="00D63B1F"/>
    <w:rsid w:val="00D84C37"/>
    <w:rsid w:val="00D87408"/>
    <w:rsid w:val="00DB0658"/>
    <w:rsid w:val="00DB4F6B"/>
    <w:rsid w:val="00DC0CED"/>
    <w:rsid w:val="00DC3024"/>
    <w:rsid w:val="00DD2D69"/>
    <w:rsid w:val="00DE036F"/>
    <w:rsid w:val="00DE37DF"/>
    <w:rsid w:val="00DE60E6"/>
    <w:rsid w:val="00DF4FE1"/>
    <w:rsid w:val="00E062FC"/>
    <w:rsid w:val="00E322CB"/>
    <w:rsid w:val="00E4154D"/>
    <w:rsid w:val="00E66583"/>
    <w:rsid w:val="00EA1DD7"/>
    <w:rsid w:val="00EB42AD"/>
    <w:rsid w:val="00EB54C7"/>
    <w:rsid w:val="00EB5963"/>
    <w:rsid w:val="00EC6208"/>
    <w:rsid w:val="00ED30B1"/>
    <w:rsid w:val="00EF271D"/>
    <w:rsid w:val="00EF7A5E"/>
    <w:rsid w:val="00F17B14"/>
    <w:rsid w:val="00F20F63"/>
    <w:rsid w:val="00F3672B"/>
    <w:rsid w:val="00F77420"/>
    <w:rsid w:val="00F81A85"/>
    <w:rsid w:val="00F85192"/>
    <w:rsid w:val="00F95D4C"/>
    <w:rsid w:val="00FB4308"/>
    <w:rsid w:val="00FC0924"/>
    <w:rsid w:val="00FC4BE8"/>
    <w:rsid w:val="00FD10B3"/>
    <w:rsid w:val="00FE0969"/>
    <w:rsid w:val="00FE7A4F"/>
    <w:rsid w:val="079C1314"/>
    <w:rsid w:val="15EE124A"/>
    <w:rsid w:val="1AC61E68"/>
    <w:rsid w:val="2DC74CE3"/>
    <w:rsid w:val="3EF9A88B"/>
    <w:rsid w:val="43F053E5"/>
    <w:rsid w:val="4C7FB944"/>
    <w:rsid w:val="543A4E45"/>
    <w:rsid w:val="560D087F"/>
    <w:rsid w:val="5E12588D"/>
    <w:rsid w:val="63D126C0"/>
    <w:rsid w:val="66D83AF5"/>
    <w:rsid w:val="77FF2811"/>
    <w:rsid w:val="9BBE5B47"/>
    <w:rsid w:val="FBFEC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7"/>
    <w:qFormat/>
    <w:uiPriority w:val="0"/>
    <w:pPr>
      <w:keepNext/>
      <w:keepLines/>
      <w:spacing w:before="260" w:after="260" w:line="413" w:lineRule="auto"/>
      <w:outlineLvl w:val="2"/>
    </w:pPr>
    <w:rPr>
      <w:rFonts w:ascii="Times New Roman" w:hAnsi="Times New Roman" w:eastAsia="Times New Roman" w:cs="Times New Roman"/>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99"/>
    <w:pPr>
      <w:ind w:firstLine="420"/>
    </w:pPr>
    <w:rPr>
      <w:rFonts w:ascii="Times New Roman" w:hAnsi="Times New Roman" w:cs="Times New Roman"/>
      <w:szCs w:val="20"/>
    </w:rPr>
  </w:style>
  <w:style w:type="paragraph" w:styleId="4">
    <w:name w:val="Body Text"/>
    <w:basedOn w:val="1"/>
    <w:next w:val="5"/>
    <w:qFormat/>
    <w:uiPriority w:val="0"/>
    <w:pPr>
      <w:spacing w:after="120"/>
    </w:pPr>
    <w:rPr>
      <w:rFonts w:ascii="Times New Roman" w:hAnsi="Times New Roman" w:eastAsia="宋体" w:cs="Times New Roman"/>
      <w:szCs w:val="24"/>
    </w:rPr>
  </w:style>
  <w:style w:type="paragraph" w:styleId="5">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Plain Text"/>
    <w:basedOn w:val="1"/>
    <w:link w:val="16"/>
    <w:unhideWhenUsed/>
    <w:qFormat/>
    <w:uiPriority w:val="0"/>
    <w:rPr>
      <w:rFonts w:ascii="宋体" w:hAnsi="Courier New"/>
    </w:r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qFormat/>
    <w:uiPriority w:val="1"/>
    <w:pPr>
      <w:widowControl w:val="0"/>
      <w:jc w:val="both"/>
    </w:pPr>
    <w:rPr>
      <w:rFonts w:ascii="Calibri" w:hAnsi="Calibri" w:eastAsia="宋体" w:cs="Calibri"/>
      <w:kern w:val="2"/>
      <w:sz w:val="21"/>
      <w:szCs w:val="21"/>
      <w:lang w:val="en-US" w:eastAsia="zh-CN" w:bidi="ar-SA"/>
    </w:rPr>
  </w:style>
  <w:style w:type="character" w:customStyle="1" w:styleId="14">
    <w:name w:val="页眉 Char"/>
    <w:basedOn w:val="12"/>
    <w:link w:val="8"/>
    <w:semiHidden/>
    <w:qFormat/>
    <w:uiPriority w:val="99"/>
    <w:rPr>
      <w:sz w:val="18"/>
      <w:szCs w:val="18"/>
    </w:rPr>
  </w:style>
  <w:style w:type="character" w:customStyle="1" w:styleId="15">
    <w:name w:val="页脚 Char"/>
    <w:basedOn w:val="12"/>
    <w:link w:val="7"/>
    <w:semiHidden/>
    <w:qFormat/>
    <w:uiPriority w:val="99"/>
    <w:rPr>
      <w:sz w:val="18"/>
      <w:szCs w:val="18"/>
    </w:rPr>
  </w:style>
  <w:style w:type="character" w:customStyle="1" w:styleId="16">
    <w:name w:val="纯文本 Char"/>
    <w:basedOn w:val="12"/>
    <w:link w:val="6"/>
    <w:qFormat/>
    <w:uiPriority w:val="0"/>
    <w:rPr>
      <w:rFonts w:hint="eastAsia" w:ascii="宋体" w:hAnsi="Courier New" w:eastAsia="宋体" w:cs="Courier New"/>
      <w:kern w:val="2"/>
      <w:sz w:val="21"/>
      <w:szCs w:val="21"/>
    </w:rPr>
  </w:style>
  <w:style w:type="character" w:customStyle="1" w:styleId="17">
    <w:name w:val="标题 3 Char"/>
    <w:basedOn w:val="12"/>
    <w:link w:val="2"/>
    <w:qFormat/>
    <w:uiPriority w:val="0"/>
    <w:rPr>
      <w:rFonts w:eastAsia="Times New Roman"/>
      <w:b/>
      <w:kern w:val="2"/>
      <w:sz w:val="3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5615</Words>
  <Characters>6022</Characters>
  <Lines>60</Lines>
  <Paragraphs>17</Paragraphs>
  <TotalTime>1</TotalTime>
  <ScaleCrop>false</ScaleCrop>
  <LinksUpToDate>false</LinksUpToDate>
  <CharactersWithSpaces>6022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2025-03-19T11:01:00Z</dcterms:created>
  <dc:creator>mo</dc:creator>
  <cp:lastModifiedBy>yt</cp:lastModifiedBy>
  <cp:lastPrinted>2025-03-25T16:22:00Z</cp:lastPrinted>
  <dcterms:modified xsi:type="dcterms:W3CDTF">2026-06-24T05:55:08Z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eyJoZGlkIjoiMTkwYzgxZWI3NjA3OTRhYTFlMWMxZjgxM2I5NWRiNjgiLCJ1c2VySWQiOiI2MDYwNTYzNzUifQ==</vt:lpwstr>
  </property>
  <property fmtid="{D5CDD505-2E9C-101B-9397-08002B2CF9AE}" pid="3" name="KSOProductBuildVer">
    <vt:lpwstr>2052-12.1.0.26895</vt:lpwstr>
  </property>
  <property fmtid="{D5CDD505-2E9C-101B-9397-08002B2CF9AE}" pid="4" name="ICV">
    <vt:lpwstr>A5FEE122C5C240A48BEFEA80C332BF05_13</vt:lpwstr>
  </property>
</Properties>
</file>