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关于</w:t>
      </w:r>
      <w:r>
        <w:rPr>
          <w:rFonts w:hint="eastAsia" w:ascii="方正小标宋简体" w:hAnsi="方正小标宋简体" w:eastAsia="方正小标宋简体" w:cs="方正小标宋简体"/>
          <w:sz w:val="44"/>
          <w:szCs w:val="44"/>
        </w:rPr>
        <w:t>《深圳标准发展“十五五”行动计划（送审稿）》</w:t>
      </w:r>
      <w:r>
        <w:rPr>
          <w:rFonts w:hint="eastAsia" w:ascii="方正小标宋简体" w:hAnsi="方正小标宋简体" w:eastAsia="方正小标宋简体" w:cs="方正小标宋简体"/>
          <w:sz w:val="44"/>
          <w:szCs w:val="44"/>
          <w:lang w:eastAsia="zh-CN"/>
        </w:rPr>
        <w:t>的</w:t>
      </w:r>
      <w:r>
        <w:rPr>
          <w:rFonts w:hint="eastAsia" w:ascii="方正小标宋简体" w:hAnsi="方正小标宋简体" w:eastAsia="方正小标宋简体" w:cs="方正小标宋简体"/>
          <w:sz w:val="44"/>
          <w:szCs w:val="44"/>
        </w:rPr>
        <w:t>风险评估报告</w:t>
      </w:r>
    </w:p>
    <w:p>
      <w:pPr>
        <w:keepNext w:val="0"/>
        <w:keepLines w:val="0"/>
        <w:pageBreakBefore w:val="0"/>
        <w:widowControl w:val="0"/>
        <w:kinsoku/>
        <w:wordWrap/>
        <w:overflowPunct/>
        <w:topLinePunct w:val="0"/>
        <w:autoSpaceDE/>
        <w:autoSpaceDN/>
        <w:bidi w:val="0"/>
        <w:adjustRightInd/>
        <w:snapToGrid/>
        <w:spacing w:before="157" w:beforeLines="50" w:after="157" w:afterLines="50" w:line="640" w:lineRule="exact"/>
        <w:jc w:val="both"/>
        <w:textAlignment w:val="auto"/>
        <w:rPr>
          <w:rFonts w:hint="eastAsia" w:ascii="方正小标宋简体" w:hAnsi="方正小标宋简体" w:eastAsia="方正小标宋简体" w:cs="方正小标宋简体"/>
          <w:sz w:val="44"/>
          <w:szCs w:val="44"/>
        </w:rPr>
      </w:pPr>
    </w:p>
    <w:p>
      <w:pPr>
        <w:pStyle w:val="5"/>
        <w:keepNext w:val="0"/>
        <w:keepLines w:val="0"/>
        <w:pageBreakBefore w:val="0"/>
        <w:widowControl/>
        <w:numPr>
          <w:ilvl w:val="0"/>
          <w:numId w:val="1"/>
        </w:numPr>
        <w:kinsoku/>
        <w:wordWrap/>
        <w:overflowPunct/>
        <w:topLinePunct w:val="0"/>
        <w:autoSpaceDE/>
        <w:autoSpaceDN/>
        <w:bidi w:val="0"/>
        <w:adjustRightInd w:val="0"/>
        <w:snapToGrid w:val="0"/>
        <w:spacing w:before="157" w:beforeLines="50" w:after="157" w:afterLines="50" w:line="560" w:lineRule="exact"/>
        <w:jc w:val="center"/>
        <w:textAlignment w:val="baseline"/>
        <w:rPr>
          <w:rFonts w:hint="eastAsia" w:ascii="黑体" w:hAnsi="黑体" w:eastAsia="黑体" w:cs="黑体"/>
          <w:b w:val="0"/>
          <w:bCs w:val="0"/>
          <w:snapToGrid w:val="0"/>
          <w:color w:val="000000"/>
          <w:sz w:val="36"/>
          <w:szCs w:val="36"/>
        </w:rPr>
      </w:pPr>
      <w:r>
        <w:rPr>
          <w:rFonts w:hint="eastAsia" w:ascii="黑体" w:hAnsi="黑体" w:eastAsia="黑体" w:cs="黑体"/>
          <w:b w:val="0"/>
          <w:bCs w:val="0"/>
          <w:snapToGrid w:val="0"/>
          <w:color w:val="000000"/>
          <w:sz w:val="36"/>
          <w:szCs w:val="36"/>
        </w:rPr>
        <w:t>风险评估事项概述</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根据《深圳市重大行政决策程序实施办法》（深府规〔2023〕2号）相关规定，《深圳标准发展“十五五”行动计划》已列入深圳市市场监督管理局重大行政决策事项目录，现按规定程序开展风险评估。</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一、制定背景</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为深入贯彻《国家标准化发展纲要》，立足我市“十五五”时期经济社会发展全局，支撑深圳建设更具全球影响力的经济中心城市和现代化国际大都市，推进中国式现代化的深圳实践，市市场监管局结合全市标准化工作实际，牵头编制《深圳标准发展“十五五”行动计划（送审稿）》。本行动计划明确未来五年标准化工作的总体要求、发展目标、重点任务与保障措施，是指导全市标准化事业高质量发展的重要工作指引。</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二、制定过程</w:t>
      </w:r>
    </w:p>
    <w:p>
      <w:pPr>
        <w:keepNext w:val="0"/>
        <w:keepLines w:val="0"/>
        <w:pageBreakBefore w:val="0"/>
        <w:widowControl/>
        <w:kinsoku/>
        <w:wordWrap/>
        <w:overflowPunct/>
        <w:topLinePunct w:val="0"/>
        <w:autoSpaceDE/>
        <w:autoSpaceDN/>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行动计划（送审稿）》由深圳市市场监督管理局牵头编制，紧扣深圳先行示范区建设目标，围绕服务全市高质量发展、赋能超大城市治理现代化的核心使命推进编制工作。在系统研判发展基础、深入开展专题调研的基础上，严格履行重大行政决策法定程序，充分凝聚各方共识，经多轮修改完善后形成送审稿。</w:t>
      </w:r>
    </w:p>
    <w:p>
      <w:pPr>
        <w:keepNext w:val="0"/>
        <w:keepLines w:val="0"/>
        <w:pageBreakBefore w:val="0"/>
        <w:widowControl/>
        <w:kinsoku/>
        <w:wordWrap/>
        <w:overflowPunct/>
        <w:topLinePunct w:val="0"/>
        <w:autoSpaceDE/>
        <w:autoSpaceDN/>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rPr>
      </w:pPr>
      <w:r>
        <w:rPr>
          <w:rFonts w:hint="eastAsia" w:ascii="楷体" w:hAnsi="楷体" w:eastAsia="楷体" w:cs="楷体"/>
          <w:snapToGrid w:val="0"/>
          <w:color w:val="000000"/>
          <w:kern w:val="0"/>
          <w:sz w:val="32"/>
          <w:szCs w:val="32"/>
          <w:lang w:val="en-US" w:eastAsia="zh-CN"/>
        </w:rPr>
        <w:t>（一）坚持衔接部署，把准编制方向。</w:t>
      </w:r>
      <w:r>
        <w:rPr>
          <w:rFonts w:hint="eastAsia" w:ascii="仿宋_GB2312" w:hAnsi="仿宋_GB2312" w:eastAsia="仿宋_GB2312" w:cs="仿宋_GB2312"/>
          <w:snapToGrid w:val="0"/>
          <w:color w:val="000000"/>
          <w:kern w:val="0"/>
          <w:sz w:val="32"/>
          <w:szCs w:val="32"/>
          <w:lang w:val="en-US" w:eastAsia="zh-CN"/>
        </w:rPr>
        <w:t>深入学习国家、省关于标准化工作的决策部署，全面对标《国家标准化发展纲要》总体要求，系统梳理“十五五”时期标准化改革方向与重点任务，形成上位政策对标清单，确保全面承接上级部署、精准把握改革方向。主动融入全市发展大局，紧扣中国特色社会主义先行示范区建设、新质生产力培育等重点工作，找准标准化支撑服务的结合点与发力点，做好顶层设计对接与政策路径衔接，确保编制工作始终契合国家战略导向、匹配省级工作部署、贴合深圳发展定位、服务全市中心任务。</w:t>
      </w:r>
    </w:p>
    <w:p>
      <w:pPr>
        <w:keepNext w:val="0"/>
        <w:keepLines w:val="0"/>
        <w:pageBreakBefore w:val="0"/>
        <w:widowControl/>
        <w:kinsoku/>
        <w:wordWrap/>
        <w:overflowPunct/>
        <w:topLinePunct w:val="0"/>
        <w:autoSpaceDE/>
        <w:autoSpaceDN/>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rPr>
      </w:pPr>
      <w:r>
        <w:rPr>
          <w:rFonts w:hint="eastAsia" w:ascii="楷体" w:hAnsi="楷体" w:eastAsia="楷体" w:cs="楷体"/>
          <w:snapToGrid w:val="0"/>
          <w:color w:val="000000"/>
          <w:kern w:val="0"/>
          <w:sz w:val="32"/>
          <w:szCs w:val="32"/>
          <w:lang w:val="en-US" w:eastAsia="zh-CN"/>
        </w:rPr>
        <w:t>（二）坚持系统谋划，筑牢编制根基。</w:t>
      </w:r>
      <w:r>
        <w:rPr>
          <w:rFonts w:hint="eastAsia" w:ascii="仿宋_GB2312" w:hAnsi="仿宋_GB2312" w:eastAsia="仿宋_GB2312" w:cs="仿宋_GB2312"/>
          <w:snapToGrid w:val="0"/>
          <w:color w:val="000000"/>
          <w:kern w:val="0"/>
          <w:sz w:val="32"/>
          <w:szCs w:val="32"/>
          <w:lang w:val="en-US" w:eastAsia="zh-CN"/>
        </w:rPr>
        <w:t>立足标准化事业高质量发展全局，强化编制工作全流程统筹谋划，成立由局分管领导牵头，业务处室、标准化专业研究机构共同参与的编制工作组，建立定期会商、分工推进的工作机制。围绕战略性新兴产业标准领航、深港澳标准规则衔接、民生公共服务标准升级、城市治理标准化赋能、标准化体制机制改革等重点方向，分门别类开展深度专题研究，逐项梳理政策要求、现实基础与发展需求。全面总结“十四五”时期工作成效，研判“十五五”时期标准化发展面临的战略机遇与现实挑战，为科学设定目标任务、合理布局重点工作打下坚实基础。</w:t>
      </w:r>
    </w:p>
    <w:p>
      <w:pPr>
        <w:keepNext w:val="0"/>
        <w:keepLines w:val="0"/>
        <w:pageBreakBefore w:val="0"/>
        <w:widowControl/>
        <w:kinsoku/>
        <w:wordWrap/>
        <w:overflowPunct/>
        <w:topLinePunct w:val="0"/>
        <w:autoSpaceDE/>
        <w:autoSpaceDN/>
        <w:bidi w:val="0"/>
        <w:adjustRightInd w:val="0"/>
        <w:snapToGrid w:val="0"/>
        <w:spacing w:line="560" w:lineRule="exact"/>
        <w:ind w:left="0" w:firstLine="640" w:firstLineChars="200"/>
        <w:jc w:val="both"/>
        <w:textAlignment w:val="baseline"/>
        <w:rPr>
          <w:rFonts w:hint="eastAsia"/>
          <w:lang w:val="en-US" w:eastAsia="zh-CN"/>
        </w:rPr>
      </w:pPr>
      <w:r>
        <w:rPr>
          <w:rFonts w:hint="eastAsia" w:ascii="楷体" w:hAnsi="楷体" w:eastAsia="楷体" w:cs="楷体"/>
          <w:snapToGrid w:val="0"/>
          <w:color w:val="000000"/>
          <w:kern w:val="0"/>
          <w:sz w:val="32"/>
          <w:szCs w:val="32"/>
          <w:lang w:val="en-US" w:eastAsia="zh-CN"/>
        </w:rPr>
        <w:t>（三）坚持开门编规，凝聚各方共识。</w:t>
      </w:r>
      <w:r>
        <w:rPr>
          <w:rFonts w:hint="eastAsia" w:ascii="仿宋_GB2312" w:hAnsi="仿宋_GB2312" w:eastAsia="仿宋_GB2312" w:cs="仿宋_GB2312"/>
          <w:snapToGrid w:val="0"/>
          <w:color w:val="000000"/>
          <w:kern w:val="0"/>
          <w:sz w:val="32"/>
          <w:szCs w:val="32"/>
          <w:lang w:val="en-US" w:eastAsia="zh-CN"/>
        </w:rPr>
        <w:t>编制过程主动做好向上对接，多次赴国家市场监督管理总局、广东省市场监督管理局汇报沟通，及时对标上级工作部署。坚持科学民主决策，多轮征求市直相关部门、各区政府意见，专题听取人大代表、政协委员意见建议，通过局门户网站向社会公开征求意见，组织专家开展咨询论证，充分吸纳各方合理建议，经多轮修改完善后形成送审稿，广泛凝聚发展共识。</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三、起草依据</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本行动计划依据《中华人民共和国标准化法》《国家标准化发展纲要》，对接深圳综合改革试点、前海深港现代服务业合作区、河套深港科技创新合作区等国家战略，认真落实省委、省政府关于进一步发挥标准引领作用促进广东经济社会高质量发展的部署要求，结合我市先行示范区建设相关工作安排，围绕打造高水平“深圳标准”体系、建设标准强市的目标，编制形成《行动计划（送审稿）》。</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四、主要内容</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《行动计划（送审稿）》主要分为四大部分，包含11项主要指标、5项重点任务、73条具体举措、20项专栏工程。</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_GB2312" w:eastAsia="仿宋_GB2312" w:cs="仿宋_GB2312"/>
          <w:snapToGrid w:val="0"/>
          <w:color w:val="000000"/>
          <w:kern w:val="0"/>
          <w:sz w:val="32"/>
          <w:szCs w:val="32"/>
          <w:lang w:val="en-US" w:eastAsia="zh-CN"/>
        </w:rPr>
      </w:pPr>
      <w:r>
        <w:rPr>
          <w:rFonts w:hint="eastAsia" w:ascii="楷体" w:hAnsi="楷体" w:eastAsia="楷体" w:cs="楷体"/>
          <w:snapToGrid w:val="0"/>
          <w:color w:val="000000"/>
          <w:kern w:val="0"/>
          <w:sz w:val="32"/>
          <w:szCs w:val="32"/>
          <w:lang w:val="en-US" w:eastAsia="zh-CN"/>
        </w:rPr>
        <w:t>（一）分析发展基础和面临形势。</w:t>
      </w:r>
      <w:r>
        <w:rPr>
          <w:rFonts w:hint="eastAsia" w:ascii="仿宋_GB2312" w:hAnsi="仿宋_GB2312" w:eastAsia="仿宋_GB2312" w:cs="仿宋_GB2312"/>
          <w:snapToGrid w:val="0"/>
          <w:color w:val="000000"/>
          <w:kern w:val="0"/>
          <w:sz w:val="32"/>
          <w:szCs w:val="32"/>
          <w:lang w:val="en-US" w:eastAsia="zh-CN"/>
        </w:rPr>
        <w:t>全面总结深圳“十四五”时期标准化工作成效，系统梳理标准制度体系创新突破、标准引领产业成效显著、全域标准化深度拓展、标准制度型开放创新实践、标准国际化成果丰硕、标准化人才培育成效显著、标准发展基础更加牢固七个方面的发展成就；深入研判当前工作面临的新一轮标准化改革纵深推进、新一轮产业变革加速迭代、百年变局下国际形势深刻演变、超大城市治理现代化加快推进等机遇与挑战，为“十五五”时期的目标设定、任务布局奠定基础。</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_GB2312" w:eastAsia="仿宋_GB2312" w:cs="仿宋_GB2312"/>
          <w:snapToGrid w:val="0"/>
          <w:color w:val="000000"/>
          <w:kern w:val="0"/>
          <w:sz w:val="32"/>
          <w:szCs w:val="32"/>
          <w:lang w:val="en-US" w:eastAsia="zh-CN"/>
        </w:rPr>
      </w:pPr>
      <w:r>
        <w:rPr>
          <w:rFonts w:hint="eastAsia" w:ascii="楷体" w:hAnsi="楷体" w:eastAsia="楷体" w:cs="楷体"/>
          <w:snapToGrid w:val="0"/>
          <w:color w:val="000000"/>
          <w:kern w:val="0"/>
          <w:sz w:val="32"/>
          <w:szCs w:val="32"/>
          <w:lang w:val="en-US" w:eastAsia="zh-CN"/>
        </w:rPr>
        <w:t>（二）提出总体要求。</w:t>
      </w:r>
      <w:r>
        <w:rPr>
          <w:rFonts w:hint="eastAsia" w:ascii="仿宋_GB2312" w:hAnsi="仿宋_GB2312" w:eastAsia="仿宋_GB2312" w:cs="仿宋_GB2312"/>
          <w:snapToGrid w:val="0"/>
          <w:color w:val="000000"/>
          <w:kern w:val="0"/>
          <w:sz w:val="32"/>
          <w:szCs w:val="32"/>
          <w:lang w:val="en-US" w:eastAsia="zh-CN"/>
        </w:rPr>
        <w:t>明确“十五五”时期标准化工作的指导思想、基本原则和发展目标，围绕标准研制、体系建设、试点示范、国际合作、工作机构等维度设置11项主要指标，提出到2030年建成新质生产力标准策源地、国际标准化开放高地、城市治理现代化标准引领地的总体目标。</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_GB2312" w:eastAsia="仿宋_GB2312" w:cs="仿宋_GB2312"/>
          <w:snapToGrid w:val="0"/>
          <w:color w:val="000000"/>
          <w:kern w:val="0"/>
          <w:sz w:val="32"/>
          <w:szCs w:val="32"/>
          <w:lang w:val="en-US" w:eastAsia="zh-CN"/>
        </w:rPr>
      </w:pPr>
      <w:r>
        <w:rPr>
          <w:rFonts w:hint="eastAsia" w:ascii="楷体" w:hAnsi="楷体" w:eastAsia="楷体" w:cs="楷体"/>
          <w:snapToGrid w:val="0"/>
          <w:color w:val="000000"/>
          <w:kern w:val="0"/>
          <w:sz w:val="32"/>
          <w:szCs w:val="32"/>
          <w:lang w:val="en-US" w:eastAsia="zh-CN"/>
        </w:rPr>
        <w:t>（三）部署五方面的主要举措。</w:t>
      </w:r>
      <w:r>
        <w:rPr>
          <w:rFonts w:hint="eastAsia" w:ascii="仿宋_GB2312" w:hAnsi="仿宋_GB2312" w:eastAsia="仿宋_GB2312" w:cs="仿宋_GB2312"/>
          <w:snapToGrid w:val="0"/>
          <w:color w:val="000000"/>
          <w:kern w:val="0"/>
          <w:sz w:val="32"/>
          <w:szCs w:val="32"/>
          <w:lang w:val="en-US" w:eastAsia="zh-CN"/>
        </w:rPr>
        <w:t>一是深化标准改革创新，激发体制机制新动能。涵盖夯实标准化法规制度保障、推进标准供给结构改革、深化标准实施应用改革、聚力标准数字生态改革4项措施，配套实施标准供给提质工程、标准实施应用深化工程、标准数字化赋能工程等。二是标准领航新质生产力，引领现代产业体系构建。涵盖科技标准协同创新、强化新兴产业标准引领、布局未来产业标准体系、推动传统产业标准升级、构建现代服务业标准高地5项措施，配套实施科技标准协同创新工程、新兴产业标准领航工程、未来产业标准先导工程、传统产业标准引领工程、现代服务业标准提质工程等。三是标准贯通国际规则，建设开放合作枢纽高地。涵盖强化国际标准组织对接与合作、推动深圳标准走向世界、深化粤港澳大湾区标准共建、打造国际标准化支撑体系4项措施，配套实施深圳标准国际化能级提升工程、国际标准突破与出海工程、湾区标准化协同共建工程、国际标准化支撑体系建设工程等。四是标准塑造美丽中国典范，建设可持续发展先锋。涵盖健全绿色低碳发展标准支撑、构建美丽生态环境标准体系、筑牢生态系统韧性标准防线、深化创新开放协同标准布局4项措施，配套实施绿色产业标准建设工程、生态环境标准建设工程、生态系统韧性标准建设工程、生态创新治理协同工程等。五是标准赋能城市治理现代化，打造民生幸福标杆。涵盖筑牢民生幸福标准根基、打造城市高质量发展标准框架、健全高品质文化生活标准体系、深化智慧政务与治理标准建设4大措施，配套实施民生服务品质提升与标准引领工程、城市安全韧性标准化建设工程、文化创新与消费升级标准化提质工程、政务服务智能化提升工程等。</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_GB2312" w:eastAsia="仿宋_GB2312" w:cs="仿宋_GB2312"/>
          <w:snapToGrid w:val="0"/>
          <w:color w:val="000000"/>
          <w:kern w:val="0"/>
          <w:sz w:val="32"/>
          <w:szCs w:val="32"/>
          <w:lang w:val="en-US" w:eastAsia="zh-CN"/>
        </w:rPr>
      </w:pPr>
      <w:r>
        <w:rPr>
          <w:rFonts w:hint="eastAsia" w:ascii="楷体" w:hAnsi="楷体" w:eastAsia="楷体" w:cs="楷体"/>
          <w:snapToGrid w:val="0"/>
          <w:color w:val="000000"/>
          <w:kern w:val="0"/>
          <w:sz w:val="32"/>
          <w:szCs w:val="32"/>
          <w:lang w:val="en-US" w:eastAsia="zh-CN"/>
        </w:rPr>
        <w:t>（四）明确保障措施。</w:t>
      </w:r>
      <w:r>
        <w:rPr>
          <w:rFonts w:hint="eastAsia" w:ascii="仿宋_GB2312" w:hAnsi="仿宋_GB2312" w:eastAsia="仿宋_GB2312" w:cs="仿宋_GB2312"/>
          <w:snapToGrid w:val="0"/>
          <w:color w:val="000000"/>
          <w:kern w:val="0"/>
          <w:sz w:val="32"/>
          <w:szCs w:val="32"/>
          <w:lang w:val="en-US" w:eastAsia="zh-CN"/>
        </w:rPr>
        <w:t>包括强化组织保障、加大资金保障、夯实硬件支撑、健全生态体系、建强人才队伍五个方面，构建组织、资金、硬件、生态、人才“五位一体”的保障体系，统筹推进各项目标任务落地实施。</w:t>
      </w:r>
    </w:p>
    <w:p>
      <w:pPr>
        <w:pStyle w:val="5"/>
        <w:keepNext w:val="0"/>
        <w:keepLines w:val="0"/>
        <w:pageBreakBefore w:val="0"/>
        <w:widowControl/>
        <w:numPr>
          <w:ilvl w:val="0"/>
          <w:numId w:val="0"/>
        </w:numPr>
        <w:kinsoku/>
        <w:wordWrap/>
        <w:overflowPunct/>
        <w:topLinePunct w:val="0"/>
        <w:autoSpaceDE/>
        <w:autoSpaceDN/>
        <w:bidi w:val="0"/>
        <w:adjustRightInd w:val="0"/>
        <w:snapToGrid w:val="0"/>
        <w:spacing w:before="157" w:beforeLines="50" w:after="157" w:afterLines="50" w:line="560" w:lineRule="exact"/>
        <w:ind w:left="0"/>
        <w:jc w:val="center"/>
        <w:textAlignment w:val="baseline"/>
        <w:rPr>
          <w:rFonts w:hint="eastAsia" w:ascii="黑体" w:hAnsi="黑体" w:eastAsia="黑体" w:cs="黑体"/>
          <w:b w:val="0"/>
          <w:bCs w:val="0"/>
          <w:snapToGrid w:val="0"/>
          <w:color w:val="000000"/>
          <w:sz w:val="36"/>
          <w:szCs w:val="36"/>
          <w:lang w:val="en-US" w:eastAsia="zh-CN"/>
        </w:rPr>
      </w:pPr>
      <w:r>
        <w:rPr>
          <w:rFonts w:hint="eastAsia" w:ascii="黑体" w:hAnsi="黑体" w:eastAsia="黑体" w:cs="黑体"/>
          <w:b w:val="0"/>
          <w:bCs w:val="0"/>
          <w:snapToGrid w:val="0"/>
          <w:color w:val="000000"/>
          <w:sz w:val="36"/>
          <w:szCs w:val="36"/>
          <w:lang w:val="en-US" w:eastAsia="zh-CN"/>
        </w:rPr>
        <w:t>第二部 分风险评估准备</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一、社会公示、社会意见情况</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深圳市市场监督管理局严格按照重大行政决策程序规定，就《行动计划（征求意见稿）》广泛征求各方意见，并对意见采纳情况予以公示。一是2026年1月9日，就《行动计划》征求相关单位意见，收集意见30条，经认真研究，采纳25条，部分采纳5条。二是2026年6月5日，就《行动计划》第二次征求相关单位意见，收集意见40条，经认真研究，采纳38条，部分采纳2条。三是2026年6月5日，就《行动计划》向社会公众公开征求意见，收集意见7条，经认真研究，采纳5条，部分采纳2条。四是2026年7月14日，组织开展《行动计划》专家论证会，收集意见22条，经认真研究，采纳18条，部分采纳4条。</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二、评估依据</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行动计划（送审稿）》统筹谋划未来五年标准化发展方向，涉及面广、影响力大，属于重大行政决策事项。根据《深圳市重大行政决策程序实施办法》（深府规〔2023〕2号）等规定，结合标准化领域相关法律法规，开展本次风险评估工作。</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三、评估方法及目的</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采用定性分析、专家研判等方法，对《行动计划（送审稿）》的合法性、合理性、可行性、可控性进行综合评估，全面评价其科学性、适配性与可操作性，为决策出台与组织实施提供客观依据。</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四、评估主体</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本次风险评估由深圳市市场监督管理局作为评估主体组织开展。</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五、评估原则</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遵循科学、中立、客观的原则，依法独立开展评估工作。</w:t>
      </w:r>
    </w:p>
    <w:p>
      <w:pPr>
        <w:pStyle w:val="5"/>
        <w:keepNext w:val="0"/>
        <w:keepLines w:val="0"/>
        <w:pageBreakBefore w:val="0"/>
        <w:widowControl/>
        <w:numPr>
          <w:ilvl w:val="0"/>
          <w:numId w:val="0"/>
        </w:numPr>
        <w:kinsoku/>
        <w:wordWrap/>
        <w:overflowPunct/>
        <w:topLinePunct w:val="0"/>
        <w:autoSpaceDE/>
        <w:autoSpaceDN/>
        <w:bidi w:val="0"/>
        <w:adjustRightInd w:val="0"/>
        <w:snapToGrid w:val="0"/>
        <w:spacing w:before="157" w:beforeLines="50" w:after="157" w:afterLines="50" w:line="560" w:lineRule="exact"/>
        <w:ind w:left="0"/>
        <w:jc w:val="center"/>
        <w:textAlignment w:val="baseline"/>
        <w:rPr>
          <w:rFonts w:hint="eastAsia" w:ascii="黑体" w:hAnsi="黑体" w:eastAsia="黑体" w:cs="黑体"/>
          <w:b w:val="0"/>
          <w:bCs w:val="0"/>
          <w:snapToGrid w:val="0"/>
          <w:color w:val="000000"/>
          <w:sz w:val="36"/>
          <w:szCs w:val="36"/>
          <w:lang w:val="en-US" w:eastAsia="zh-CN"/>
        </w:rPr>
      </w:pPr>
      <w:r>
        <w:rPr>
          <w:rFonts w:hint="eastAsia" w:ascii="黑体" w:hAnsi="黑体" w:eastAsia="黑体" w:cs="黑体"/>
          <w:b w:val="0"/>
          <w:bCs w:val="0"/>
          <w:snapToGrid w:val="0"/>
          <w:color w:val="000000"/>
          <w:sz w:val="36"/>
          <w:szCs w:val="36"/>
          <w:lang w:val="en-US" w:eastAsia="zh-CN"/>
        </w:rPr>
        <w:t>第三部分 风险评估内容</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一、合法性评估</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合法性评估重点围绕编制主体、制定依据、制定程序三个维度，核查《行动计划（送审稿）》的合规性，确认其是否符合相关法律法规及政策规定。政策依据层面，</w:t>
      </w:r>
      <w:bookmarkStart w:id="0" w:name="_GoBack"/>
      <w:bookmarkEnd w:id="0"/>
      <w:r>
        <w:rPr>
          <w:rFonts w:hint="eastAsia" w:ascii="仿宋_GB2312" w:hAnsi="仿宋_GB2312" w:eastAsia="仿宋_GB2312" w:cs="仿宋_GB2312"/>
          <w:snapToGrid w:val="0"/>
          <w:color w:val="000000"/>
          <w:kern w:val="0"/>
          <w:sz w:val="32"/>
          <w:szCs w:val="32"/>
          <w:lang w:val="en-US" w:eastAsia="zh-CN"/>
        </w:rPr>
        <w:t>《行动计划（送审稿）》各项内容与《中华人民共和国标准化法》《国家标准化发展纲要》等上位法律法规及政策文件精神保持一致，与我市相关发展规划充分衔接，不存在违法违规内容。编制主体层面，根据《中华人民共和国标准化法》第五条“县级以上地方人民政府标准化行政主管部门统一管理本行政区域内的标准化工作”的规定，深圳市市场监督管理局作为本市标准化行政主管部门，牵头组织编制本行动计划，履职主体与权限均符合法律规定。制定程序层面，编制全过程严格执行重大行政决策程序规定，规范履行公众参与、专家论证、风险评估等法定环节，程序要素完整、流程合法合规。</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二、合理性评估</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标准是国家基础性制度的重要方面，标准化在推进国家治理体系和治理能力现代化中发挥着基础性、引领性作用。深入落实《国家标准化发展纲要》部署要求，紧扣省委、省政府关于强化标准引领的工作安排，立足深圳先行示范区建设全局，编制本行动计划是推动标准化与经济社会发展深度融合的客观要求。当前，深圳正处于培育壮大新质生产力、推动产业高端化智能化绿色化发展、深化高水平对外开放的关键阶段，标准化作为质量基础设施的核心要素，对增强产业链供应链韧性、打造市场化法治化国际化营商环境、提升城市治理精细化水平、增进民生福祉具有重要支撑作用。针对我市标准供给质量有待提升、新兴领域标准布局有待加快、标准国际化能级有待增强等发展短板，《行动计划（送审稿）》坚持问题导向与目标导向相统一，围绕产业升级、城市治理、民生保障、对外开放等重点领域系统谋划任务举措，既全面衔接上级工作要求，又紧密贴合深圳发展实际，目标设定科学合理，任务安排务实可行，能够为“十五五”时期全市标准化事业高质量发展提供清晰行动指引。</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三、可行性评估</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行动计划（送审稿）》围绕“十五五”时期全市标准化发展目标系统部署重点任务，实施基础坚实、支撑条件完备，具备落地见效的可行性。从实施基础看，“十四五”时期我市标准化改革持续深化，制度体系不断完善，跨部门协同机制运行顺畅，产业实践成果丰富，标准化公共服务能力稳步提升，为新一轮工作开展筑牢了坚实根基。从任务设计看，紧密对接深圳产业升级、城市治理、对外开放等核心需求，各项举措坚持实事求是，兼顾发展需要与现实承载能力，与现有工作体系有序衔接，可操作性强。从共识基础看，经专家咨询论证，专家普遍认可《行动计划（送审稿）》的总体框架与任务安排，认为其契合深圳发展定位，能够为“十五五”时期标准化事业发展提供务实可行的行动指引。</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四、可控性评估</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行动计划（送审稿）》整体框架清晰、体系完备，实施风险总体可控，推进过程具备充足的统筹调节空间。实施期间，受宏观发展环境、外部形势变化等因素影响，部分工作的推进节奏与落地成效可能存在一定不确定性；跨领域、跨层级协同事项需进一步凝聚工作合力；各区发展基础与推进节奏存在差异，需统筹平衡全市统一部署与区域因地制宜发展；相关配套保障举措需结合实施进展动态优化完善。</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整体来看，各类影响因素均处于可预判、可调节范围，通过健全工作机制、强化统筹调度、开展动态跟踪评估，能够有效保障行动计划平稳有序实施。</w:t>
      </w:r>
    </w:p>
    <w:p>
      <w:pPr>
        <w:pStyle w:val="5"/>
        <w:keepNext w:val="0"/>
        <w:keepLines w:val="0"/>
        <w:pageBreakBefore w:val="0"/>
        <w:widowControl/>
        <w:numPr>
          <w:ilvl w:val="0"/>
          <w:numId w:val="0"/>
        </w:numPr>
        <w:kinsoku/>
        <w:wordWrap/>
        <w:overflowPunct/>
        <w:topLinePunct w:val="0"/>
        <w:autoSpaceDE/>
        <w:autoSpaceDN/>
        <w:bidi w:val="0"/>
        <w:adjustRightInd w:val="0"/>
        <w:snapToGrid w:val="0"/>
        <w:spacing w:before="157" w:beforeLines="50" w:after="157" w:afterLines="50" w:line="560" w:lineRule="exact"/>
        <w:ind w:left="0"/>
        <w:jc w:val="center"/>
        <w:textAlignment w:val="baseline"/>
        <w:rPr>
          <w:rFonts w:hint="eastAsia" w:ascii="黑体" w:hAnsi="黑体" w:eastAsia="黑体" w:cs="黑体"/>
          <w:b w:val="0"/>
          <w:bCs w:val="0"/>
          <w:snapToGrid w:val="0"/>
          <w:color w:val="000000"/>
          <w:sz w:val="36"/>
          <w:szCs w:val="36"/>
          <w:lang w:val="en-US" w:eastAsia="zh-CN"/>
        </w:rPr>
      </w:pPr>
      <w:r>
        <w:rPr>
          <w:rFonts w:hint="eastAsia" w:ascii="黑体" w:hAnsi="黑体" w:eastAsia="黑体" w:cs="黑体"/>
          <w:b w:val="0"/>
          <w:bCs w:val="0"/>
          <w:snapToGrid w:val="0"/>
          <w:color w:val="000000"/>
          <w:sz w:val="36"/>
          <w:szCs w:val="36"/>
          <w:lang w:val="en-US" w:eastAsia="zh-CN"/>
        </w:rPr>
        <w:t>第四部分 风险防范措施</w:t>
      </w:r>
    </w:p>
    <w:p>
      <w:pPr>
        <w:pStyle w:val="3"/>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一、建立动态监测与评估调整机制</w:t>
      </w:r>
    </w:p>
    <w:p>
      <w:pPr>
        <w:pStyle w:val="3"/>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建立标准化发展核心指标监测体系，统一规范指标统计口径、数据来源与报送规则，定期跟踪实施进度、研判实施成效。严格落实规划中期评估相关要求，于实施周期第三年组织开展全面评估；遇国家及省市重大政策调整、发展环境发生重大变化等客观情形确需调整的，严格按照规定程序对指标及任务进行动态优化，保障行动计划实施的合规性与适配性。</w:t>
      </w:r>
    </w:p>
    <w:p>
      <w:pPr>
        <w:pStyle w:val="3"/>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二、完善跨部门协同推进机制</w:t>
      </w:r>
    </w:p>
    <w:p>
      <w:pPr>
        <w:pStyle w:val="3"/>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依托标准化工作协调机制，建立重点任务定期调度与会商制度，明晰各相关部门职责边界与工作衔接流程，强化跨部门信息共享、工作联动与协同攻坚，构建权责清晰、协同高效的跨部门推进格局，保障跨领域标准化任务规范有序落地。</w:t>
      </w:r>
    </w:p>
    <w:p>
      <w:pPr>
        <w:pStyle w:val="3"/>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三、构建市区联动分级落实机制</w:t>
      </w:r>
    </w:p>
    <w:p>
      <w:pPr>
        <w:pStyle w:val="3"/>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坚持全市统筹、分级负责、因地制宜的原则，强化顶层设计与整体部署。支持各区结合区域产业特色、资源禀赋与发展定位，差异化推进标准化特色项目建设；加强市级层面对区级标准化工作的业务指导与政策支持，构建上下贯通、协同发力、各有侧重的市区两级工作推进体系。</w:t>
      </w:r>
    </w:p>
    <w:p>
      <w:pPr>
        <w:pStyle w:val="5"/>
        <w:keepNext w:val="0"/>
        <w:keepLines w:val="0"/>
        <w:pageBreakBefore w:val="0"/>
        <w:widowControl/>
        <w:numPr>
          <w:ilvl w:val="0"/>
          <w:numId w:val="0"/>
        </w:numPr>
        <w:kinsoku/>
        <w:wordWrap/>
        <w:overflowPunct/>
        <w:topLinePunct w:val="0"/>
        <w:autoSpaceDE/>
        <w:autoSpaceDN/>
        <w:bidi w:val="0"/>
        <w:adjustRightInd w:val="0"/>
        <w:snapToGrid w:val="0"/>
        <w:spacing w:before="157" w:beforeLines="50" w:after="157" w:afterLines="50" w:line="560" w:lineRule="exact"/>
        <w:ind w:left="0"/>
        <w:jc w:val="center"/>
        <w:textAlignment w:val="baseline"/>
        <w:rPr>
          <w:rFonts w:hint="eastAsia" w:ascii="黑体" w:hAnsi="黑体" w:eastAsia="黑体" w:cs="黑体"/>
          <w:b w:val="0"/>
          <w:bCs w:val="0"/>
          <w:snapToGrid w:val="0"/>
          <w:color w:val="000000"/>
          <w:sz w:val="36"/>
          <w:szCs w:val="36"/>
          <w:lang w:val="en-US" w:eastAsia="zh-CN"/>
        </w:rPr>
      </w:pPr>
      <w:r>
        <w:rPr>
          <w:rFonts w:hint="eastAsia" w:ascii="黑体" w:hAnsi="黑体" w:eastAsia="黑体" w:cs="黑体"/>
          <w:b w:val="0"/>
          <w:bCs w:val="0"/>
          <w:snapToGrid w:val="0"/>
          <w:color w:val="000000"/>
          <w:sz w:val="36"/>
          <w:szCs w:val="36"/>
          <w:lang w:val="en-US" w:eastAsia="zh-CN"/>
        </w:rPr>
        <w:t>第五部分 风险评估结论</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经综合评估，《深圳标准发展“十五五”行动计划（送审稿）》逻辑层次清晰，编制程序合规，各项举措贴合深圳发展实际，能够为未来五年全市标准化工作提供明确行动指引，为深圳建设中国特色社会主义先行示范区提供有力标准化支撑。文件整体风险可控，评估等级为低风险，具备出台实施的条件。</w:t>
      </w:r>
    </w:p>
    <w:p>
      <w:pPr>
        <w:pStyle w:val="3"/>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_GB2312" w:eastAsia="仿宋_GB2312" w:cs="仿宋_GB2312"/>
          <w:snapToGrid w:val="0"/>
          <w:color w:val="000000"/>
          <w:kern w:val="0"/>
          <w:sz w:val="32"/>
          <w:szCs w:val="32"/>
          <w:lang w:val="en-US" w:eastAsia="zh-CN"/>
        </w:rPr>
      </w:pPr>
      <w:r>
        <w:rPr>
          <w:rFonts w:hint="eastAsia" w:ascii="仿宋_GB2312" w:hAnsi="仿宋_GB2312" w:eastAsia="仿宋_GB2312" w:cs="仿宋_GB2312"/>
          <w:snapToGrid w:val="0"/>
          <w:color w:val="000000"/>
          <w:kern w:val="0"/>
          <w:sz w:val="32"/>
          <w:szCs w:val="32"/>
          <w:lang w:val="en-US" w:eastAsia="zh-CN"/>
        </w:rPr>
        <w:t>建议在实施过程中重点做好三方面工作：一是持续跟踪外部环境变化，按规定程序动态优化调整指标任务；二是强化跨部门协同联动，合力推动重点领域标准化任务落地见效；三是统筹市区两级资源力量，兼顾全市统一部署与区域差异化发展需求。</w:t>
      </w:r>
    </w:p>
    <w:sectPr>
      <w:pgSz w:w="11906" w:h="16838"/>
      <w:pgMar w:top="1984" w:right="1474"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B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A77645"/>
    <w:multiLevelType w:val="singleLevel"/>
    <w:tmpl w:val="CEA77645"/>
    <w:lvl w:ilvl="0" w:tentative="0">
      <w:start w:val="1"/>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36FF2D6F"/>
    <w:rsid w:val="4A1947CF"/>
    <w:rsid w:val="71EF1010"/>
    <w:rsid w:val="7DFDEF03"/>
    <w:rsid w:val="7EBFC094"/>
    <w:rsid w:val="BDED6B69"/>
    <w:rsid w:val="BF7B4E4B"/>
    <w:rsid w:val="D7BFF6B1"/>
    <w:rsid w:val="EFCFE428"/>
    <w:rsid w:val="F3A91614"/>
    <w:rsid w:val="F7AEB113"/>
    <w:rsid w:val="FAE347A7"/>
    <w:rsid w:val="FDFEB697"/>
    <w:rsid w:val="FE2E165E"/>
    <w:rsid w:val="FE9BA791"/>
    <w:rsid w:val="FFED5497"/>
    <w:rsid w:val="FFEF5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keepNext/>
      <w:keepLines/>
      <w:spacing w:before="340" w:after="33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widowControl w:val="0"/>
      <w:ind w:firstLine="420"/>
      <w:jc w:val="both"/>
    </w:pPr>
    <w:rPr>
      <w:rFonts w:ascii="Calibri" w:hAnsi="Calibri" w:eastAsia="宋体" w:cs="Times New Roman"/>
      <w:kern w:val="2"/>
      <w:sz w:val="21"/>
      <w:szCs w:val="24"/>
      <w:lang w:val="en-US" w:eastAsia="zh-CN" w:bidi="ar-SA"/>
    </w:rPr>
  </w:style>
  <w:style w:type="paragraph" w:styleId="3">
    <w:name w:val="Body Text"/>
    <w:basedOn w:val="1"/>
    <w:next w:val="4"/>
    <w:qFormat/>
    <w:uiPriority w:val="1"/>
    <w:pPr>
      <w:ind w:left="120"/>
    </w:pPr>
    <w:rPr>
      <w:sz w:val="32"/>
      <w:szCs w:val="32"/>
    </w:rPr>
  </w:style>
  <w:style w:type="paragraph" w:styleId="4">
    <w:name w:val="toc 5"/>
    <w:basedOn w:val="1"/>
    <w:next w:val="1"/>
    <w:qFormat/>
    <w:uiPriority w:val="0"/>
    <w:pPr>
      <w:widowControl w:val="0"/>
      <w:ind w:left="168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114</TotalTime>
  <ScaleCrop>false</ScaleCrop>
  <LinksUpToDate>false</LinksUpToDate>
  <CharactersWithSpaces>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2018-07-12T15:11:00Z</dcterms:created>
  <dc:creator>d</dc:creator>
  <cp:lastModifiedBy>Xuzw2</cp:lastModifiedBy>
  <dcterms:modified xsi:type="dcterms:W3CDTF">2026-08-03T10:35:15Z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9C41A92BAACA7EA3316B696A4A96C0DC</vt:lpwstr>
  </property>
</Properties>
</file>